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344C4" w14:textId="77777777" w:rsidR="00E33144" w:rsidRPr="000A5257" w:rsidRDefault="00E33144">
      <w:pPr>
        <w:jc w:val="center"/>
        <w:rPr>
          <w:rFonts w:eastAsia="標楷體"/>
        </w:rPr>
      </w:pPr>
      <w:proofErr w:type="gramStart"/>
      <w:r w:rsidRPr="000A5257">
        <w:rPr>
          <w:rFonts w:eastAsia="標楷體"/>
        </w:rPr>
        <w:t>嗇</w:t>
      </w:r>
      <w:proofErr w:type="gramEnd"/>
      <w:r w:rsidRPr="000A5257">
        <w:rPr>
          <w:rFonts w:eastAsia="標楷體"/>
        </w:rPr>
        <w:t>色園主</w:t>
      </w:r>
      <w:proofErr w:type="gramStart"/>
      <w:r w:rsidRPr="000A5257">
        <w:rPr>
          <w:rFonts w:eastAsia="標楷體"/>
        </w:rPr>
        <w:t>辦可藝</w:t>
      </w:r>
      <w:proofErr w:type="gramEnd"/>
      <w:r w:rsidRPr="000A5257">
        <w:rPr>
          <w:rFonts w:eastAsia="標楷體"/>
        </w:rPr>
        <w:t>中學</w:t>
      </w:r>
    </w:p>
    <w:p w14:paraId="39884081" w14:textId="4A512851" w:rsidR="00E33144" w:rsidRPr="000A5257" w:rsidRDefault="00E33144">
      <w:pPr>
        <w:jc w:val="center"/>
        <w:rPr>
          <w:rFonts w:eastAsia="標楷體"/>
        </w:rPr>
      </w:pPr>
      <w:r w:rsidRPr="000A5257">
        <w:rPr>
          <w:rFonts w:eastAsia="標楷體"/>
        </w:rPr>
        <w:t>學生事務通告（</w:t>
      </w:r>
      <w:r w:rsidR="00F614F7" w:rsidRPr="000A5257">
        <w:rPr>
          <w:rFonts w:eastAsia="標楷體"/>
        </w:rPr>
        <w:t>202</w:t>
      </w:r>
      <w:r w:rsidR="00DC173B">
        <w:rPr>
          <w:rFonts w:eastAsia="標楷體"/>
        </w:rPr>
        <w:t>4</w:t>
      </w:r>
      <w:r w:rsidRPr="000A5257">
        <w:rPr>
          <w:rFonts w:eastAsia="標楷體"/>
        </w:rPr>
        <w:t>-</w:t>
      </w:r>
      <w:r w:rsidR="00F614F7" w:rsidRPr="000A5257">
        <w:rPr>
          <w:rFonts w:eastAsia="標楷體"/>
        </w:rPr>
        <w:t>202</w:t>
      </w:r>
      <w:r w:rsidR="00DC173B">
        <w:rPr>
          <w:rFonts w:eastAsia="標楷體"/>
        </w:rPr>
        <w:t>5</w:t>
      </w:r>
      <w:r w:rsidR="005B5191" w:rsidRPr="000A5257">
        <w:rPr>
          <w:rFonts w:eastAsia="標楷體" w:hint="eastAsia"/>
          <w:lang w:eastAsia="zh-HK"/>
        </w:rPr>
        <w:t>學</w:t>
      </w:r>
      <w:r w:rsidRPr="000A5257">
        <w:rPr>
          <w:rFonts w:eastAsia="標楷體"/>
        </w:rPr>
        <w:t>年）第</w:t>
      </w:r>
      <w:r w:rsidR="00A60828">
        <w:rPr>
          <w:rFonts w:eastAsia="標楷體"/>
        </w:rPr>
        <w:t>85</w:t>
      </w:r>
      <w:r w:rsidRPr="000A5257">
        <w:rPr>
          <w:rFonts w:eastAsia="標楷體"/>
        </w:rPr>
        <w:t>號</w:t>
      </w:r>
    </w:p>
    <w:p w14:paraId="17985DC1" w14:textId="7D42C4A1" w:rsidR="00E33144" w:rsidRPr="000A5257" w:rsidRDefault="00E33144">
      <w:pPr>
        <w:jc w:val="center"/>
        <w:rPr>
          <w:rFonts w:eastAsia="標楷體"/>
          <w:u w:val="single"/>
        </w:rPr>
      </w:pPr>
      <w:r w:rsidRPr="000A5257">
        <w:rPr>
          <w:rFonts w:eastAsia="標楷體"/>
          <w:u w:val="single"/>
        </w:rPr>
        <w:t>有關</w:t>
      </w:r>
      <w:r w:rsidR="005B5191" w:rsidRPr="000A5257">
        <w:rPr>
          <w:rFonts w:eastAsia="標楷體"/>
          <w:u w:val="single"/>
        </w:rPr>
        <w:t>202</w:t>
      </w:r>
      <w:r w:rsidR="00DC173B">
        <w:rPr>
          <w:rFonts w:eastAsia="標楷體"/>
          <w:u w:val="single"/>
        </w:rPr>
        <w:t>5</w:t>
      </w:r>
      <w:r w:rsidRPr="000A5257">
        <w:rPr>
          <w:rFonts w:eastAsia="標楷體"/>
          <w:u w:val="single"/>
        </w:rPr>
        <w:t>香港中學文憑考試放榜日安排</w:t>
      </w:r>
    </w:p>
    <w:p w14:paraId="672A6659" w14:textId="77777777" w:rsidR="00E33144" w:rsidRPr="00DC173B" w:rsidRDefault="00E33144">
      <w:pPr>
        <w:rPr>
          <w:rFonts w:eastAsia="標楷體"/>
        </w:rPr>
      </w:pPr>
    </w:p>
    <w:p w14:paraId="4ACB515F" w14:textId="77777777" w:rsidR="00A60828" w:rsidRDefault="00E33144">
      <w:pPr>
        <w:rPr>
          <w:rFonts w:eastAsia="標楷體"/>
        </w:rPr>
      </w:pPr>
      <w:r w:rsidRPr="000A5257">
        <w:rPr>
          <w:rFonts w:eastAsia="標楷體"/>
        </w:rPr>
        <w:t>敬啟者：</w:t>
      </w:r>
    </w:p>
    <w:p w14:paraId="3D823B69" w14:textId="77777777" w:rsidR="00A60828" w:rsidRDefault="00A60828">
      <w:pPr>
        <w:rPr>
          <w:rFonts w:eastAsia="標楷體"/>
        </w:rPr>
      </w:pPr>
    </w:p>
    <w:p w14:paraId="5B45EA7F" w14:textId="26E41BD8" w:rsidR="00E33144" w:rsidRPr="000A5257" w:rsidRDefault="00A60828">
      <w:pPr>
        <w:rPr>
          <w:rFonts w:eastAsia="標楷體"/>
        </w:rPr>
      </w:pPr>
      <w:r>
        <w:rPr>
          <w:rFonts w:eastAsia="標楷體" w:hint="eastAsia"/>
        </w:rPr>
        <w:t xml:space="preserve">　　</w:t>
      </w:r>
      <w:r w:rsidR="00E33144" w:rsidRPr="000A5257">
        <w:rPr>
          <w:rFonts w:eastAsia="標楷體"/>
        </w:rPr>
        <w:t>7</w:t>
      </w:r>
      <w:r w:rsidR="00E33144" w:rsidRPr="000A5257">
        <w:rPr>
          <w:rFonts w:eastAsia="標楷體"/>
        </w:rPr>
        <w:t>月</w:t>
      </w:r>
      <w:r w:rsidR="005B5191" w:rsidRPr="000A5257">
        <w:rPr>
          <w:rFonts w:eastAsia="標楷體" w:hint="eastAsia"/>
        </w:rPr>
        <w:t>1</w:t>
      </w:r>
      <w:r w:rsidR="00DC173B">
        <w:rPr>
          <w:rFonts w:eastAsia="標楷體"/>
        </w:rPr>
        <w:t>6</w:t>
      </w:r>
      <w:r w:rsidR="00E33144" w:rsidRPr="000A5257">
        <w:rPr>
          <w:rFonts w:eastAsia="標楷體"/>
        </w:rPr>
        <w:t>日（星期</w:t>
      </w:r>
      <w:r w:rsidR="001D60ED" w:rsidRPr="000A5257">
        <w:rPr>
          <w:rFonts w:eastAsia="標楷體"/>
        </w:rPr>
        <w:t>三</w:t>
      </w:r>
      <w:r w:rsidR="00E33144" w:rsidRPr="000A5257">
        <w:rPr>
          <w:rFonts w:eastAsia="標楷體"/>
        </w:rPr>
        <w:t>）為</w:t>
      </w:r>
      <w:r w:rsidR="00FA14BD" w:rsidRPr="000A5257">
        <w:rPr>
          <w:rFonts w:eastAsia="標楷體"/>
        </w:rPr>
        <w:t>202</w:t>
      </w:r>
      <w:r w:rsidR="00DC173B">
        <w:rPr>
          <w:rFonts w:eastAsia="標楷體"/>
        </w:rPr>
        <w:t>5</w:t>
      </w:r>
      <w:r w:rsidR="00E33144" w:rsidRPr="000A5257">
        <w:rPr>
          <w:rFonts w:eastAsia="標楷體"/>
        </w:rPr>
        <w:t>香港中學文憑考試放榜日，請同學於當日上午</w:t>
      </w:r>
      <w:r w:rsidR="00E33144" w:rsidRPr="000A5257">
        <w:rPr>
          <w:rFonts w:eastAsia="標楷體"/>
        </w:rPr>
        <w:t>8:</w:t>
      </w:r>
      <w:r w:rsidR="002C6329" w:rsidRPr="000A5257">
        <w:rPr>
          <w:rFonts w:eastAsia="標楷體"/>
        </w:rPr>
        <w:t>45</w:t>
      </w:r>
      <w:r w:rsidR="00E33144" w:rsidRPr="000A5257">
        <w:rPr>
          <w:rFonts w:eastAsia="標楷體"/>
        </w:rPr>
        <w:t xml:space="preserve"> </w:t>
      </w:r>
      <w:r w:rsidR="00884921" w:rsidRPr="000A5257">
        <w:rPr>
          <w:rFonts w:eastAsia="標楷體" w:hint="eastAsia"/>
          <w:lang w:eastAsia="zh-HK"/>
        </w:rPr>
        <w:t>到</w:t>
      </w:r>
      <w:r w:rsidR="005B5191" w:rsidRPr="000A5257">
        <w:rPr>
          <w:rFonts w:eastAsia="標楷體" w:hint="eastAsia"/>
          <w:lang w:eastAsia="zh-HK"/>
        </w:rPr>
        <w:t>禮堂</w:t>
      </w:r>
      <w:r w:rsidR="00EC0038" w:rsidRPr="000A5257">
        <w:rPr>
          <w:rFonts w:eastAsia="標楷體" w:hint="eastAsia"/>
          <w:lang w:eastAsia="zh-HK"/>
        </w:rPr>
        <w:t>領取</w:t>
      </w:r>
      <w:r w:rsidR="00884921" w:rsidRPr="000A5257">
        <w:rPr>
          <w:rFonts w:eastAsia="標楷體" w:hint="eastAsia"/>
        </w:rPr>
        <w:t>成績通知書</w:t>
      </w:r>
      <w:r w:rsidR="00E33144" w:rsidRPr="000A5257">
        <w:rPr>
          <w:rFonts w:eastAsia="標楷體"/>
        </w:rPr>
        <w:t>。為協助中六同學有更好的安排，當日升學及就業組及輔導組老師將開設多個輔導室，提供小組或個別輔導，為同學提供適切的輔導和協助。</w:t>
      </w:r>
    </w:p>
    <w:p w14:paraId="0A37501D" w14:textId="77777777" w:rsidR="002804F3" w:rsidRPr="000A5257" w:rsidRDefault="002804F3">
      <w:pPr>
        <w:rPr>
          <w:rFonts w:eastAsia="標楷體"/>
        </w:rPr>
      </w:pPr>
    </w:p>
    <w:p w14:paraId="43024F78" w14:textId="65E1512F" w:rsidR="002804F3" w:rsidRPr="000A5257" w:rsidRDefault="002804F3">
      <w:pPr>
        <w:rPr>
          <w:rFonts w:eastAsia="標楷體"/>
        </w:rPr>
      </w:pPr>
      <w:r w:rsidRPr="000A5257">
        <w:rPr>
          <w:rFonts w:eastAsia="標楷體" w:hint="eastAsia"/>
        </w:rPr>
        <w:t xml:space="preserve">　　考評局於今年</w:t>
      </w:r>
      <w:r w:rsidR="005B5191" w:rsidRPr="000A5257">
        <w:rPr>
          <w:rFonts w:eastAsia="標楷體" w:hint="eastAsia"/>
          <w:lang w:eastAsia="zh-HK"/>
        </w:rPr>
        <w:t>亦會</w:t>
      </w:r>
      <w:r w:rsidRPr="000A5257">
        <w:rPr>
          <w:rFonts w:eastAsia="標楷體" w:hint="eastAsia"/>
        </w:rPr>
        <w:t>以</w:t>
      </w:r>
      <w:r w:rsidRPr="000A5257">
        <w:rPr>
          <w:rFonts w:eastAsia="標楷體" w:hint="eastAsia"/>
        </w:rPr>
        <w:t xml:space="preserve"> SMS </w:t>
      </w:r>
      <w:r w:rsidRPr="000A5257">
        <w:rPr>
          <w:rFonts w:eastAsia="標楷體" w:hint="eastAsia"/>
        </w:rPr>
        <w:t>手機短訊形式向已提供</w:t>
      </w:r>
      <w:r w:rsidRPr="000A5257">
        <w:rPr>
          <w:rFonts w:eastAsia="標楷體" w:hint="eastAsia"/>
        </w:rPr>
        <w:t xml:space="preserve"> SMS </w:t>
      </w:r>
      <w:r w:rsidRPr="000A5257">
        <w:rPr>
          <w:rFonts w:eastAsia="標楷體" w:hint="eastAsia"/>
        </w:rPr>
        <w:t>手機短訊號碼的學校考生發送其考試及覆核成績結果。已選擇有關服務的考生會分別於</w:t>
      </w:r>
      <w:r w:rsidRPr="000A5257">
        <w:rPr>
          <w:rFonts w:eastAsia="標楷體" w:hint="eastAsia"/>
        </w:rPr>
        <w:t>7</w:t>
      </w:r>
      <w:r w:rsidR="00A60828">
        <w:rPr>
          <w:rFonts w:eastAsia="標楷體" w:hint="eastAsia"/>
        </w:rPr>
        <w:t>月</w:t>
      </w:r>
      <w:r w:rsidR="00645629">
        <w:rPr>
          <w:rFonts w:eastAsia="標楷體"/>
        </w:rPr>
        <w:t>21</w:t>
      </w:r>
      <w:r w:rsidRPr="000A5257">
        <w:rPr>
          <w:rFonts w:eastAsia="標楷體" w:hint="eastAsia"/>
        </w:rPr>
        <w:t>日及</w:t>
      </w:r>
      <w:r w:rsidRPr="000A5257">
        <w:rPr>
          <w:rFonts w:eastAsia="標楷體" w:hint="eastAsia"/>
        </w:rPr>
        <w:t>8</w:t>
      </w:r>
      <w:r w:rsidR="00A60828">
        <w:rPr>
          <w:rFonts w:eastAsia="標楷體" w:hint="eastAsia"/>
        </w:rPr>
        <w:t>月</w:t>
      </w:r>
      <w:r w:rsidR="00C66A6F" w:rsidRPr="000A5257">
        <w:rPr>
          <w:rFonts w:eastAsia="標楷體"/>
        </w:rPr>
        <w:t>1</w:t>
      </w:r>
      <w:r w:rsidR="00645629">
        <w:rPr>
          <w:rFonts w:eastAsia="標楷體"/>
        </w:rPr>
        <w:t>3</w:t>
      </w:r>
      <w:r w:rsidRPr="000A5257">
        <w:rPr>
          <w:rFonts w:eastAsia="標楷體" w:hint="eastAsia"/>
        </w:rPr>
        <w:t>日（只適用於覆核成績申請者）上午</w:t>
      </w:r>
      <w:r w:rsidRPr="000A5257">
        <w:rPr>
          <w:rFonts w:eastAsia="標楷體" w:hint="eastAsia"/>
        </w:rPr>
        <w:t>9</w:t>
      </w:r>
      <w:r w:rsidRPr="000A5257">
        <w:rPr>
          <w:rFonts w:eastAsia="標楷體" w:hint="eastAsia"/>
        </w:rPr>
        <w:t>時起</w:t>
      </w:r>
      <w:r w:rsidRPr="000A5257">
        <w:rPr>
          <w:rFonts w:eastAsia="標楷體" w:hint="eastAsia"/>
        </w:rPr>
        <w:t xml:space="preserve"> </w:t>
      </w:r>
      <w:r w:rsidRPr="000A5257">
        <w:rPr>
          <w:rFonts w:eastAsia="標楷體" w:hint="eastAsia"/>
        </w:rPr>
        <w:t>收到有關成績結果／覆核成績結果短訊。該服務可供考生自行選擇及作為緊急情況下的備用應變方案</w:t>
      </w:r>
      <w:r w:rsidRPr="000A5257">
        <w:rPr>
          <w:rFonts w:eastAsia="標楷體" w:hint="eastAsia"/>
          <w:lang w:eastAsia="zh-HK"/>
        </w:rPr>
        <w:t>，</w:t>
      </w:r>
      <w:r w:rsidRPr="000A5257">
        <w:rPr>
          <w:rFonts w:eastAsia="標楷體" w:hint="eastAsia"/>
          <w:b/>
          <w:u w:val="single"/>
          <w:lang w:eastAsia="zh-HK"/>
        </w:rPr>
        <w:t>學生仍</w:t>
      </w:r>
      <w:r w:rsidRPr="000A5257">
        <w:rPr>
          <w:rFonts w:eastAsia="標楷體" w:hint="eastAsia"/>
          <w:b/>
          <w:u w:val="single"/>
        </w:rPr>
        <w:t>然</w:t>
      </w:r>
      <w:r w:rsidRPr="000A5257">
        <w:rPr>
          <w:rFonts w:eastAsia="標楷體" w:hint="eastAsia"/>
          <w:b/>
          <w:u w:val="single"/>
          <w:lang w:eastAsia="zh-HK"/>
        </w:rPr>
        <w:t>需要回校領取</w:t>
      </w:r>
      <w:r w:rsidRPr="000A5257">
        <w:rPr>
          <w:rFonts w:eastAsia="標楷體" w:hint="eastAsia"/>
          <w:b/>
          <w:u w:val="single"/>
        </w:rPr>
        <w:t>成績通知書</w:t>
      </w:r>
      <w:r w:rsidRPr="000A5257">
        <w:rPr>
          <w:rFonts w:eastAsia="標楷體" w:hint="eastAsia"/>
          <w:lang w:eastAsia="zh-HK"/>
        </w:rPr>
        <w:t>。</w:t>
      </w:r>
    </w:p>
    <w:p w14:paraId="5DAB6C7B" w14:textId="77777777" w:rsidR="006837B3" w:rsidRPr="000A5257" w:rsidRDefault="006837B3">
      <w:pPr>
        <w:rPr>
          <w:rFonts w:eastAsia="標楷體"/>
        </w:rPr>
      </w:pPr>
    </w:p>
    <w:p w14:paraId="02F1C43D" w14:textId="77777777" w:rsidR="00E33144" w:rsidRPr="000A5257" w:rsidRDefault="002804F3">
      <w:pPr>
        <w:rPr>
          <w:rFonts w:eastAsia="標楷體"/>
        </w:rPr>
      </w:pPr>
      <w:r w:rsidRPr="000A5257">
        <w:rPr>
          <w:rFonts w:eastAsia="標楷體" w:hint="eastAsia"/>
        </w:rPr>
        <w:t xml:space="preserve">　　</w:t>
      </w:r>
      <w:r w:rsidR="00E33144" w:rsidRPr="000A5257">
        <w:rPr>
          <w:rFonts w:eastAsia="標楷體"/>
        </w:rPr>
        <w:t>另請同學於放榜</w:t>
      </w:r>
      <w:proofErr w:type="gramStart"/>
      <w:r w:rsidR="00E33144" w:rsidRPr="000A5257">
        <w:rPr>
          <w:rFonts w:eastAsia="標楷體"/>
        </w:rPr>
        <w:t>當日帶備以下</w:t>
      </w:r>
      <w:proofErr w:type="gramEnd"/>
      <w:r w:rsidR="00E33144" w:rsidRPr="000A5257">
        <w:rPr>
          <w:rFonts w:eastAsia="標楷體"/>
        </w:rPr>
        <w:t>物品，以便與老師商討升學策略及申請報讀其他各項課程：</w:t>
      </w:r>
    </w:p>
    <w:p w14:paraId="54EFFFB8" w14:textId="77777777" w:rsidR="00E33144" w:rsidRPr="000A5257" w:rsidRDefault="00E33144">
      <w:pPr>
        <w:ind w:firstLine="720"/>
        <w:rPr>
          <w:rFonts w:eastAsia="標楷體"/>
        </w:rPr>
      </w:pPr>
      <w:r w:rsidRPr="000A5257">
        <w:rPr>
          <w:rFonts w:eastAsia="標楷體"/>
        </w:rPr>
        <w:t>1.</w:t>
      </w:r>
      <w:r w:rsidRPr="000A5257">
        <w:rPr>
          <w:rFonts w:eastAsia="標楷體"/>
        </w:rPr>
        <w:tab/>
      </w:r>
      <w:r w:rsidRPr="000A5257">
        <w:rPr>
          <w:rFonts w:eastAsia="標楷體"/>
        </w:rPr>
        <w:t>已列印的</w:t>
      </w:r>
      <w:r w:rsidRPr="000A5257">
        <w:rPr>
          <w:rFonts w:eastAsia="標楷體"/>
        </w:rPr>
        <w:t>20</w:t>
      </w:r>
      <w:r w:rsidRPr="000A5257">
        <w:rPr>
          <w:rFonts w:eastAsia="標楷體"/>
        </w:rPr>
        <w:t>個聯招選科志願表（如有）</w:t>
      </w:r>
    </w:p>
    <w:p w14:paraId="41BD86D3" w14:textId="77777777" w:rsidR="00E33144" w:rsidRPr="000A5257" w:rsidRDefault="00E33144">
      <w:pPr>
        <w:ind w:firstLine="720"/>
        <w:rPr>
          <w:rFonts w:eastAsia="標楷體"/>
        </w:rPr>
      </w:pPr>
      <w:r w:rsidRPr="000A5257">
        <w:rPr>
          <w:rFonts w:eastAsia="標楷體"/>
        </w:rPr>
        <w:t>2.</w:t>
      </w:r>
      <w:r w:rsidRPr="000A5257">
        <w:rPr>
          <w:rFonts w:eastAsia="標楷體"/>
        </w:rPr>
        <w:tab/>
      </w:r>
      <w:r w:rsidRPr="000A5257">
        <w:rPr>
          <w:rFonts w:eastAsia="標楷體"/>
        </w:rPr>
        <w:t>有</w:t>
      </w:r>
      <w:proofErr w:type="gramStart"/>
      <w:r w:rsidRPr="000A5257">
        <w:rPr>
          <w:rFonts w:eastAsia="標楷體"/>
        </w:rPr>
        <w:t>條件取錄通知書</w:t>
      </w:r>
      <w:proofErr w:type="gramEnd"/>
      <w:r w:rsidRPr="000A5257">
        <w:rPr>
          <w:rFonts w:eastAsia="標楷體"/>
        </w:rPr>
        <w:t>（如有）</w:t>
      </w:r>
    </w:p>
    <w:p w14:paraId="36F9509E" w14:textId="77777777" w:rsidR="00E33144" w:rsidRPr="000A5257" w:rsidRDefault="00E33144">
      <w:pPr>
        <w:ind w:firstLine="720"/>
        <w:rPr>
          <w:rFonts w:eastAsia="標楷體"/>
        </w:rPr>
      </w:pPr>
      <w:r w:rsidRPr="000A5257">
        <w:rPr>
          <w:rFonts w:eastAsia="標楷體"/>
        </w:rPr>
        <w:t>3.</w:t>
      </w:r>
      <w:r w:rsidRPr="000A5257">
        <w:rPr>
          <w:rFonts w:eastAsia="標楷體"/>
        </w:rPr>
        <w:tab/>
      </w:r>
      <w:r w:rsidRPr="000A5257">
        <w:rPr>
          <w:rFonts w:eastAsia="標楷體"/>
        </w:rPr>
        <w:t>升學指南</w:t>
      </w:r>
    </w:p>
    <w:p w14:paraId="5677708A" w14:textId="77777777" w:rsidR="00E33144" w:rsidRPr="000A5257" w:rsidRDefault="00E33144">
      <w:pPr>
        <w:ind w:firstLine="720"/>
        <w:rPr>
          <w:rFonts w:eastAsia="標楷體"/>
        </w:rPr>
      </w:pPr>
      <w:r w:rsidRPr="000A5257">
        <w:rPr>
          <w:rFonts w:eastAsia="標楷體"/>
        </w:rPr>
        <w:t>4.</w:t>
      </w:r>
      <w:r w:rsidRPr="000A5257">
        <w:rPr>
          <w:rFonts w:eastAsia="標楷體"/>
        </w:rPr>
        <w:tab/>
      </w:r>
      <w:r w:rsidRPr="000A5257">
        <w:rPr>
          <w:rFonts w:eastAsia="標楷體"/>
        </w:rPr>
        <w:t>相片</w:t>
      </w:r>
    </w:p>
    <w:p w14:paraId="7F2F4636" w14:textId="77777777" w:rsidR="00E33144" w:rsidRPr="000A5257" w:rsidRDefault="00E33144">
      <w:pPr>
        <w:ind w:firstLine="720"/>
        <w:rPr>
          <w:rFonts w:eastAsia="標楷體"/>
        </w:rPr>
      </w:pPr>
      <w:r w:rsidRPr="000A5257">
        <w:rPr>
          <w:rFonts w:eastAsia="標楷體"/>
        </w:rPr>
        <w:t>5.</w:t>
      </w:r>
      <w:r w:rsidRPr="000A5257">
        <w:rPr>
          <w:rFonts w:eastAsia="標楷體"/>
        </w:rPr>
        <w:tab/>
      </w:r>
      <w:r w:rsidRPr="000A5257">
        <w:rPr>
          <w:rFonts w:eastAsia="標楷體"/>
        </w:rPr>
        <w:t>校內成績表正副本</w:t>
      </w:r>
    </w:p>
    <w:p w14:paraId="4D28E418" w14:textId="77777777" w:rsidR="00E33144" w:rsidRPr="000A5257" w:rsidRDefault="00E33144">
      <w:pPr>
        <w:ind w:firstLine="720"/>
        <w:rPr>
          <w:rFonts w:eastAsia="標楷體"/>
        </w:rPr>
      </w:pPr>
      <w:r w:rsidRPr="000A5257">
        <w:rPr>
          <w:rFonts w:eastAsia="標楷體"/>
        </w:rPr>
        <w:t>6.</w:t>
      </w:r>
      <w:r w:rsidRPr="000A5257">
        <w:rPr>
          <w:rFonts w:eastAsia="標楷體"/>
        </w:rPr>
        <w:tab/>
      </w:r>
      <w:r w:rsidRPr="000A5257">
        <w:rPr>
          <w:rFonts w:eastAsia="標楷體"/>
        </w:rPr>
        <w:t>個人學習概</w:t>
      </w:r>
      <w:proofErr w:type="gramStart"/>
      <w:r w:rsidRPr="000A5257">
        <w:rPr>
          <w:rFonts w:eastAsia="標楷體"/>
        </w:rPr>
        <w:t>覽</w:t>
      </w:r>
      <w:proofErr w:type="gramEnd"/>
    </w:p>
    <w:p w14:paraId="02EB378F" w14:textId="77777777" w:rsidR="00E33144" w:rsidRPr="000A5257" w:rsidRDefault="00E33144">
      <w:pPr>
        <w:rPr>
          <w:rFonts w:eastAsia="標楷體"/>
        </w:rPr>
      </w:pPr>
    </w:p>
    <w:p w14:paraId="3124B094" w14:textId="77777777" w:rsidR="002D6C42" w:rsidRPr="000A5257" w:rsidRDefault="00E33144" w:rsidP="002D6C42">
      <w:pPr>
        <w:rPr>
          <w:rFonts w:eastAsia="標楷體"/>
          <w:sz w:val="22"/>
        </w:rPr>
      </w:pPr>
      <w:r w:rsidRPr="000A5257">
        <w:rPr>
          <w:rFonts w:eastAsia="標楷體"/>
        </w:rPr>
        <w:t>如對以上安排有任何查詢，</w:t>
      </w:r>
      <w:r w:rsidR="002D6C42" w:rsidRPr="000A5257">
        <w:rPr>
          <w:rFonts w:eastAsia="標楷體" w:hint="eastAsia"/>
          <w:sz w:val="22"/>
        </w:rPr>
        <w:t>可與班主任或以下老師查詢。</w:t>
      </w:r>
    </w:p>
    <w:p w14:paraId="6E54D80C" w14:textId="77777777" w:rsidR="002D6C42" w:rsidRPr="000A5257" w:rsidRDefault="002D6C42" w:rsidP="002D6C42">
      <w:pPr>
        <w:snapToGrid w:val="0"/>
        <w:jc w:val="both"/>
        <w:rPr>
          <w:rFonts w:eastAsia="標楷體"/>
          <w:sz w:val="22"/>
        </w:rPr>
      </w:pPr>
      <w:r w:rsidRPr="000A5257">
        <w:rPr>
          <w:rFonts w:eastAsia="標楷體" w:hint="eastAsia"/>
          <w:sz w:val="22"/>
        </w:rPr>
        <w:t>1.</w:t>
      </w:r>
      <w:r w:rsidRPr="000A5257">
        <w:rPr>
          <w:rFonts w:eastAsia="標楷體"/>
          <w:sz w:val="22"/>
        </w:rPr>
        <w:tab/>
      </w:r>
      <w:r w:rsidRPr="000A5257">
        <w:rPr>
          <w:rFonts w:eastAsia="標楷體" w:hint="eastAsia"/>
          <w:sz w:val="22"/>
        </w:rPr>
        <w:t>放榜及覆核成績</w:t>
      </w:r>
      <w:r w:rsidRPr="000A5257">
        <w:rPr>
          <w:rFonts w:eastAsia="標楷體" w:hint="eastAsia"/>
          <w:sz w:val="22"/>
        </w:rPr>
        <w:tab/>
      </w:r>
      <w:r w:rsidRPr="000A5257">
        <w:rPr>
          <w:rFonts w:eastAsia="標楷體" w:hint="eastAsia"/>
          <w:sz w:val="22"/>
        </w:rPr>
        <w:tab/>
      </w:r>
      <w:r w:rsidRPr="000A5257">
        <w:rPr>
          <w:rFonts w:eastAsia="標楷體" w:hint="eastAsia"/>
          <w:sz w:val="22"/>
        </w:rPr>
        <w:t>教務組主任</w:t>
      </w:r>
      <w:r w:rsidRPr="000A5257">
        <w:rPr>
          <w:rFonts w:eastAsia="標楷體" w:hint="eastAsia"/>
          <w:sz w:val="22"/>
        </w:rPr>
        <w:tab/>
      </w:r>
      <w:r w:rsidRPr="000A5257">
        <w:rPr>
          <w:rFonts w:eastAsia="標楷體" w:hint="eastAsia"/>
          <w:sz w:val="22"/>
        </w:rPr>
        <w:tab/>
      </w:r>
      <w:r w:rsidRPr="000A5257">
        <w:rPr>
          <w:rFonts w:eastAsia="標楷體"/>
          <w:sz w:val="22"/>
        </w:rPr>
        <w:tab/>
      </w:r>
      <w:r w:rsidR="00F8705D" w:rsidRPr="000A5257">
        <w:rPr>
          <w:rFonts w:eastAsia="標楷體" w:hint="eastAsia"/>
          <w:sz w:val="22"/>
          <w:lang w:eastAsia="zh-HK"/>
        </w:rPr>
        <w:t>林愷敏</w:t>
      </w:r>
      <w:r w:rsidRPr="000A5257">
        <w:rPr>
          <w:rFonts w:eastAsia="標楷體" w:hint="eastAsia"/>
          <w:sz w:val="22"/>
        </w:rPr>
        <w:t>老師</w:t>
      </w:r>
    </w:p>
    <w:p w14:paraId="29142EBF" w14:textId="77777777" w:rsidR="002D6C42" w:rsidRPr="000A5257" w:rsidRDefault="002D6C42" w:rsidP="002D6C42">
      <w:pPr>
        <w:snapToGrid w:val="0"/>
        <w:jc w:val="both"/>
        <w:rPr>
          <w:rFonts w:eastAsia="標楷體"/>
          <w:sz w:val="22"/>
        </w:rPr>
      </w:pPr>
      <w:r w:rsidRPr="000A5257">
        <w:rPr>
          <w:rFonts w:eastAsia="標楷體" w:hint="eastAsia"/>
          <w:sz w:val="22"/>
        </w:rPr>
        <w:t>2.</w:t>
      </w:r>
      <w:r w:rsidRPr="000A5257">
        <w:rPr>
          <w:rFonts w:eastAsia="標楷體"/>
          <w:sz w:val="22"/>
        </w:rPr>
        <w:tab/>
      </w:r>
      <w:r w:rsidRPr="000A5257">
        <w:rPr>
          <w:rFonts w:eastAsia="標楷體"/>
          <w:sz w:val="22"/>
        </w:rPr>
        <w:t>學士課程</w:t>
      </w:r>
      <w:r w:rsidRPr="000A5257">
        <w:rPr>
          <w:rFonts w:eastAsia="標楷體"/>
          <w:sz w:val="22"/>
        </w:rPr>
        <w:t xml:space="preserve"> / </w:t>
      </w:r>
      <w:r w:rsidRPr="000A5257">
        <w:rPr>
          <w:rFonts w:eastAsia="標楷體"/>
          <w:sz w:val="22"/>
        </w:rPr>
        <w:t>副學位課程</w:t>
      </w:r>
      <w:r w:rsidRPr="000A5257">
        <w:rPr>
          <w:rFonts w:eastAsia="標楷體" w:hint="eastAsia"/>
          <w:sz w:val="22"/>
        </w:rPr>
        <w:tab/>
      </w:r>
      <w:r w:rsidRPr="000A5257">
        <w:rPr>
          <w:rFonts w:eastAsia="標楷體" w:hint="eastAsia"/>
          <w:sz w:val="22"/>
        </w:rPr>
        <w:tab/>
      </w:r>
      <w:r w:rsidRPr="000A5257">
        <w:rPr>
          <w:rFonts w:eastAsia="標楷體" w:hint="eastAsia"/>
          <w:sz w:val="22"/>
        </w:rPr>
        <w:t>升學及就業輔導組主任</w:t>
      </w:r>
      <w:r w:rsidRPr="000A5257">
        <w:rPr>
          <w:rFonts w:eastAsia="標楷體"/>
          <w:sz w:val="22"/>
        </w:rPr>
        <w:tab/>
      </w:r>
      <w:r w:rsidRPr="000A5257">
        <w:rPr>
          <w:rFonts w:eastAsia="標楷體" w:hint="eastAsia"/>
          <w:sz w:val="22"/>
        </w:rPr>
        <w:t>陳淑儀老師</w:t>
      </w:r>
    </w:p>
    <w:p w14:paraId="130CE0CF" w14:textId="591142ED" w:rsidR="002D6C42" w:rsidRPr="000A5257" w:rsidRDefault="002D6C42" w:rsidP="002D6C42">
      <w:pPr>
        <w:snapToGrid w:val="0"/>
        <w:jc w:val="both"/>
        <w:rPr>
          <w:rFonts w:eastAsia="標楷體"/>
          <w:sz w:val="22"/>
        </w:rPr>
      </w:pPr>
      <w:r w:rsidRPr="000A5257">
        <w:rPr>
          <w:rFonts w:eastAsia="標楷體" w:hint="eastAsia"/>
          <w:sz w:val="22"/>
        </w:rPr>
        <w:t>3.</w:t>
      </w:r>
      <w:r w:rsidRPr="000A5257">
        <w:rPr>
          <w:rFonts w:eastAsia="標楷體" w:hint="eastAsia"/>
          <w:sz w:val="22"/>
        </w:rPr>
        <w:tab/>
      </w:r>
      <w:r w:rsidRPr="000A5257">
        <w:rPr>
          <w:rFonts w:eastAsia="標楷體"/>
          <w:sz w:val="22"/>
        </w:rPr>
        <w:t>基礎文憑</w:t>
      </w:r>
      <w:r w:rsidRPr="000A5257">
        <w:rPr>
          <w:rFonts w:eastAsia="標楷體"/>
          <w:sz w:val="22"/>
        </w:rPr>
        <w:t xml:space="preserve"> /</w:t>
      </w:r>
      <w:r w:rsidRPr="000A5257">
        <w:rPr>
          <w:rFonts w:eastAsia="標楷體" w:hint="eastAsia"/>
          <w:sz w:val="22"/>
        </w:rPr>
        <w:t xml:space="preserve"> </w:t>
      </w:r>
      <w:r w:rsidR="00AA351E" w:rsidRPr="000A5257">
        <w:rPr>
          <w:rFonts w:eastAsia="標楷體"/>
          <w:sz w:val="22"/>
          <w:szCs w:val="22"/>
        </w:rPr>
        <w:t>應用教育文憑</w:t>
      </w:r>
      <w:r w:rsidRPr="000A5257">
        <w:rPr>
          <w:rFonts w:eastAsia="標楷體"/>
          <w:sz w:val="22"/>
        </w:rPr>
        <w:t>課程</w:t>
      </w:r>
      <w:r w:rsidRPr="000A5257">
        <w:rPr>
          <w:rFonts w:eastAsia="標楷體" w:hint="eastAsia"/>
          <w:sz w:val="22"/>
        </w:rPr>
        <w:tab/>
      </w:r>
      <w:r w:rsidRPr="000A5257">
        <w:rPr>
          <w:rFonts w:eastAsia="標楷體" w:hint="eastAsia"/>
          <w:sz w:val="22"/>
        </w:rPr>
        <w:t>訓育及輔導組</w:t>
      </w:r>
      <w:r w:rsidR="00D469EF" w:rsidRPr="000A5257">
        <w:rPr>
          <w:rFonts w:eastAsia="標楷體" w:hint="eastAsia"/>
          <w:sz w:val="22"/>
        </w:rPr>
        <w:t>副</w:t>
      </w:r>
      <w:r w:rsidRPr="000A5257">
        <w:rPr>
          <w:rFonts w:eastAsia="標楷體" w:hint="eastAsia"/>
          <w:sz w:val="22"/>
        </w:rPr>
        <w:t>主任</w:t>
      </w:r>
      <w:r w:rsidRPr="000A5257">
        <w:rPr>
          <w:rFonts w:eastAsia="標楷體" w:hint="eastAsia"/>
          <w:sz w:val="22"/>
        </w:rPr>
        <w:tab/>
      </w:r>
      <w:r w:rsidRPr="000A5257">
        <w:rPr>
          <w:rFonts w:eastAsia="標楷體" w:hint="eastAsia"/>
          <w:sz w:val="22"/>
        </w:rPr>
        <w:tab/>
      </w:r>
      <w:proofErr w:type="gramStart"/>
      <w:r w:rsidR="00D469EF" w:rsidRPr="000A5257">
        <w:rPr>
          <w:rFonts w:eastAsia="標楷體" w:hint="eastAsia"/>
          <w:sz w:val="22"/>
        </w:rPr>
        <w:t>李伴陪</w:t>
      </w:r>
      <w:proofErr w:type="gramEnd"/>
      <w:r w:rsidRPr="000A5257">
        <w:rPr>
          <w:rFonts w:eastAsia="標楷體"/>
          <w:sz w:val="22"/>
        </w:rPr>
        <w:t>老師</w:t>
      </w:r>
    </w:p>
    <w:p w14:paraId="6A05A809" w14:textId="77777777" w:rsidR="002D6C42" w:rsidRPr="000A5257" w:rsidRDefault="002D6C42" w:rsidP="002D6C42">
      <w:pPr>
        <w:snapToGrid w:val="0"/>
        <w:jc w:val="both"/>
        <w:rPr>
          <w:rFonts w:eastAsia="標楷體"/>
          <w:sz w:val="22"/>
        </w:rPr>
      </w:pPr>
    </w:p>
    <w:p w14:paraId="3ABAE6D7" w14:textId="77777777" w:rsidR="00E33144" w:rsidRPr="000A5257" w:rsidRDefault="001C1DE7">
      <w:pPr>
        <w:rPr>
          <w:rFonts w:eastAsia="標楷體"/>
        </w:rPr>
      </w:pPr>
      <w:r w:rsidRPr="000A5257">
        <w:rPr>
          <w:rFonts w:eastAsia="標楷體" w:hint="eastAsia"/>
        </w:rPr>
        <w:t xml:space="preserve">　　</w:t>
      </w:r>
      <w:r w:rsidR="00E33144" w:rsidRPr="000A5257">
        <w:rPr>
          <w:rFonts w:eastAsia="標楷體"/>
        </w:rPr>
        <w:t>此致</w:t>
      </w:r>
    </w:p>
    <w:p w14:paraId="74C1D578" w14:textId="77777777" w:rsidR="00E33144" w:rsidRPr="000A5257" w:rsidRDefault="00E33144">
      <w:pPr>
        <w:rPr>
          <w:rFonts w:eastAsia="標楷體"/>
        </w:rPr>
      </w:pPr>
      <w:r w:rsidRPr="000A5257">
        <w:rPr>
          <w:rFonts w:eastAsia="標楷體"/>
        </w:rPr>
        <w:t>貴家長</w:t>
      </w:r>
    </w:p>
    <w:p w14:paraId="5A39BBE3" w14:textId="77777777" w:rsidR="00E33144" w:rsidRPr="000A5257" w:rsidRDefault="00E33144">
      <w:pPr>
        <w:rPr>
          <w:rFonts w:eastAsia="標楷體"/>
        </w:rPr>
      </w:pPr>
    </w:p>
    <w:p w14:paraId="41C8F396" w14:textId="7DD6A42C" w:rsidR="007F0876" w:rsidRDefault="007F0876">
      <w:pPr>
        <w:rPr>
          <w:rFonts w:eastAsia="標楷體"/>
        </w:rPr>
      </w:pPr>
    </w:p>
    <w:p w14:paraId="2E6526DE" w14:textId="77777777" w:rsidR="00A60828" w:rsidRPr="000A5257" w:rsidRDefault="00A60828">
      <w:pPr>
        <w:rPr>
          <w:rFonts w:eastAsia="標楷體" w:hint="eastAsia"/>
        </w:rPr>
      </w:pPr>
    </w:p>
    <w:p w14:paraId="72A3D3EC" w14:textId="77777777" w:rsidR="00E33144" w:rsidRPr="000A5257" w:rsidRDefault="00E33144">
      <w:pPr>
        <w:rPr>
          <w:rFonts w:eastAsia="標楷體"/>
        </w:rPr>
      </w:pPr>
    </w:p>
    <w:tbl>
      <w:tblPr>
        <w:tblW w:w="0" w:type="auto"/>
        <w:jc w:val="right"/>
        <w:tblLook w:val="00A0" w:firstRow="1" w:lastRow="0" w:firstColumn="1" w:lastColumn="0" w:noHBand="0" w:noVBand="0"/>
      </w:tblPr>
      <w:tblGrid>
        <w:gridCol w:w="4258"/>
        <w:gridCol w:w="4258"/>
      </w:tblGrid>
      <w:tr w:rsidR="00E33144" w:rsidRPr="000A5257" w14:paraId="11B49A3D" w14:textId="77777777" w:rsidTr="001C1DE7">
        <w:trPr>
          <w:jc w:val="right"/>
        </w:trPr>
        <w:tc>
          <w:tcPr>
            <w:tcW w:w="4258" w:type="dxa"/>
          </w:tcPr>
          <w:p w14:paraId="0D0B940D" w14:textId="77777777" w:rsidR="00E33144" w:rsidRPr="000A5257" w:rsidRDefault="00E33144">
            <w:pPr>
              <w:rPr>
                <w:rFonts w:eastAsia="標楷體"/>
              </w:rPr>
            </w:pPr>
          </w:p>
        </w:tc>
        <w:tc>
          <w:tcPr>
            <w:tcW w:w="4258" w:type="dxa"/>
            <w:tcBorders>
              <w:top w:val="single" w:sz="4" w:space="0" w:color="auto"/>
            </w:tcBorders>
          </w:tcPr>
          <w:p w14:paraId="5E596B35" w14:textId="77777777" w:rsidR="00E33144" w:rsidRPr="000A5257" w:rsidRDefault="00E33144">
            <w:pPr>
              <w:jc w:val="center"/>
              <w:rPr>
                <w:rFonts w:eastAsia="標楷體"/>
              </w:rPr>
            </w:pPr>
            <w:proofErr w:type="gramStart"/>
            <w:r w:rsidRPr="000A5257">
              <w:rPr>
                <w:rFonts w:eastAsia="標楷體"/>
              </w:rPr>
              <w:t>嗇</w:t>
            </w:r>
            <w:proofErr w:type="gramEnd"/>
            <w:r w:rsidRPr="000A5257">
              <w:rPr>
                <w:rFonts w:eastAsia="標楷體"/>
              </w:rPr>
              <w:t>色園主</w:t>
            </w:r>
            <w:proofErr w:type="gramStart"/>
            <w:r w:rsidRPr="000A5257">
              <w:rPr>
                <w:rFonts w:eastAsia="標楷體"/>
              </w:rPr>
              <w:t>辦可</w:t>
            </w:r>
            <w:proofErr w:type="gramEnd"/>
            <w:r w:rsidRPr="000A5257">
              <w:rPr>
                <w:rFonts w:eastAsia="標楷體"/>
              </w:rPr>
              <w:t>藝中學校長</w:t>
            </w:r>
          </w:p>
          <w:p w14:paraId="644FECB4" w14:textId="77777777" w:rsidR="00E33144" w:rsidRPr="000A5257" w:rsidRDefault="00E33144">
            <w:pPr>
              <w:jc w:val="center"/>
              <w:rPr>
                <w:rFonts w:eastAsia="標楷體"/>
              </w:rPr>
            </w:pPr>
            <w:r w:rsidRPr="000A5257">
              <w:rPr>
                <w:rFonts w:eastAsia="標楷體"/>
              </w:rPr>
              <w:t>張建新謹啟</w:t>
            </w:r>
          </w:p>
        </w:tc>
      </w:tr>
    </w:tbl>
    <w:p w14:paraId="0E27B00A" w14:textId="0FF46A31" w:rsidR="00E33144" w:rsidRDefault="00E33144">
      <w:pPr>
        <w:rPr>
          <w:rFonts w:eastAsia="標楷體"/>
        </w:rPr>
      </w:pPr>
    </w:p>
    <w:p w14:paraId="2E9AA5C8" w14:textId="77777777" w:rsidR="00A60828" w:rsidRPr="000A5257" w:rsidRDefault="00A60828">
      <w:pPr>
        <w:rPr>
          <w:rFonts w:eastAsia="標楷體" w:hint="eastAsia"/>
        </w:rPr>
      </w:pPr>
    </w:p>
    <w:p w14:paraId="6A62FE39" w14:textId="62F342AB" w:rsidR="00E33144" w:rsidRPr="000A5257" w:rsidRDefault="00AD77F9">
      <w:pPr>
        <w:rPr>
          <w:rFonts w:eastAsia="標楷體"/>
        </w:rPr>
      </w:pPr>
      <w:r w:rsidRPr="000A5257">
        <w:rPr>
          <w:rFonts w:eastAsia="標楷體"/>
        </w:rPr>
        <w:t>二零</w:t>
      </w:r>
      <w:r w:rsidR="00F8705D" w:rsidRPr="000A5257">
        <w:rPr>
          <w:rFonts w:eastAsia="標楷體" w:hint="eastAsia"/>
          <w:lang w:eastAsia="zh-HK"/>
        </w:rPr>
        <w:t>二</w:t>
      </w:r>
      <w:r w:rsidR="00DC173B">
        <w:rPr>
          <w:rFonts w:eastAsia="標楷體" w:hint="eastAsia"/>
          <w:lang w:eastAsia="zh-HK"/>
        </w:rPr>
        <w:t>五</w:t>
      </w:r>
      <w:r w:rsidR="00E33144" w:rsidRPr="000A5257">
        <w:rPr>
          <w:rFonts w:eastAsia="標楷體"/>
        </w:rPr>
        <w:t>年</w:t>
      </w:r>
      <w:r w:rsidR="00255FA6" w:rsidRPr="000A5257">
        <w:rPr>
          <w:rFonts w:eastAsia="標楷體" w:hint="eastAsia"/>
          <w:lang w:eastAsia="zh-HK"/>
        </w:rPr>
        <w:t>七</w:t>
      </w:r>
      <w:r w:rsidR="00E33144" w:rsidRPr="000A5257">
        <w:rPr>
          <w:rFonts w:eastAsia="標楷體"/>
        </w:rPr>
        <w:t>月</w:t>
      </w:r>
      <w:r w:rsidR="00255FA6" w:rsidRPr="000A5257">
        <w:rPr>
          <w:rFonts w:eastAsia="標楷體" w:hint="eastAsia"/>
          <w:lang w:eastAsia="zh-HK"/>
        </w:rPr>
        <w:t>十</w:t>
      </w:r>
      <w:r w:rsidR="00A60828">
        <w:rPr>
          <w:rFonts w:eastAsia="標楷體" w:hint="eastAsia"/>
          <w:lang w:eastAsia="zh-HK"/>
        </w:rPr>
        <w:t>五</w:t>
      </w:r>
      <w:r w:rsidR="00E33144" w:rsidRPr="000A5257">
        <w:rPr>
          <w:rFonts w:eastAsia="標楷體"/>
        </w:rPr>
        <w:t>日</w:t>
      </w:r>
    </w:p>
    <w:p w14:paraId="60061E4C" w14:textId="77777777" w:rsidR="00E33144" w:rsidRPr="000A5257" w:rsidRDefault="00E33144">
      <w:pPr>
        <w:rPr>
          <w:rFonts w:eastAsia="標楷體"/>
        </w:rPr>
        <w:sectPr w:rsidR="00E33144" w:rsidRPr="000A5257" w:rsidSect="008953A3">
          <w:pgSz w:w="11900" w:h="16840" w:code="9"/>
          <w:pgMar w:top="1134" w:right="1134" w:bottom="1134" w:left="1134" w:header="709" w:footer="709" w:gutter="0"/>
          <w:cols w:space="708"/>
          <w:docGrid w:linePitch="360"/>
        </w:sectPr>
      </w:pPr>
    </w:p>
    <w:p w14:paraId="29FFD030" w14:textId="77777777" w:rsidR="002C3D01" w:rsidRPr="000A5257" w:rsidRDefault="002C3D01" w:rsidP="002C3D01">
      <w:pPr>
        <w:jc w:val="both"/>
        <w:rPr>
          <w:rFonts w:eastAsia="標楷體"/>
          <w:b/>
          <w:bCs/>
          <w:sz w:val="22"/>
          <w:szCs w:val="22"/>
        </w:rPr>
      </w:pPr>
      <w:r w:rsidRPr="000A5257">
        <w:rPr>
          <w:rFonts w:eastAsia="標楷體"/>
          <w:b/>
          <w:bCs/>
          <w:sz w:val="22"/>
          <w:szCs w:val="22"/>
        </w:rPr>
        <w:lastRenderedPageBreak/>
        <w:t>覆核申請</w:t>
      </w:r>
    </w:p>
    <w:p w14:paraId="01FEABAD" w14:textId="02248AC0" w:rsidR="00C76298" w:rsidRPr="000A5257" w:rsidRDefault="002C3D01" w:rsidP="002C3D01">
      <w:pPr>
        <w:snapToGrid w:val="0"/>
        <w:spacing w:before="80" w:after="100"/>
        <w:jc w:val="both"/>
        <w:rPr>
          <w:rFonts w:eastAsia="標楷體"/>
          <w:sz w:val="22"/>
          <w:szCs w:val="22"/>
        </w:rPr>
      </w:pPr>
      <w:r w:rsidRPr="000A5257">
        <w:rPr>
          <w:rFonts w:eastAsia="標楷體"/>
          <w:sz w:val="22"/>
          <w:szCs w:val="22"/>
        </w:rPr>
        <w:t>學生於</w:t>
      </w:r>
      <w:r w:rsidRPr="000A5257">
        <w:rPr>
          <w:rFonts w:eastAsia="標楷體"/>
          <w:sz w:val="22"/>
          <w:szCs w:val="22"/>
        </w:rPr>
        <w:t>7</w:t>
      </w:r>
      <w:r w:rsidRPr="000A5257">
        <w:rPr>
          <w:rFonts w:eastAsia="標楷體"/>
          <w:sz w:val="22"/>
          <w:szCs w:val="22"/>
        </w:rPr>
        <w:t>月</w:t>
      </w:r>
      <w:r w:rsidR="00244A7E">
        <w:rPr>
          <w:rFonts w:eastAsia="標楷體"/>
          <w:sz w:val="22"/>
          <w:szCs w:val="22"/>
        </w:rPr>
        <w:t>18</w:t>
      </w:r>
      <w:r w:rsidRPr="000A5257">
        <w:rPr>
          <w:rFonts w:eastAsia="標楷體"/>
          <w:sz w:val="22"/>
          <w:szCs w:val="22"/>
        </w:rPr>
        <w:t>日或之前與科任老師商討，有關覆核申請可與</w:t>
      </w:r>
      <w:r w:rsidR="00C76298" w:rsidRPr="000A5257">
        <w:rPr>
          <w:rFonts w:eastAsia="標楷體" w:hint="eastAsia"/>
          <w:sz w:val="22"/>
          <w:szCs w:val="22"/>
        </w:rPr>
        <w:t>林愷敏</w:t>
      </w:r>
      <w:r w:rsidRPr="000A5257">
        <w:rPr>
          <w:rFonts w:eastAsia="標楷體"/>
          <w:sz w:val="22"/>
          <w:szCs w:val="22"/>
        </w:rPr>
        <w:t>老師</w:t>
      </w:r>
      <w:r w:rsidR="00D2743A" w:rsidRPr="000A5257">
        <w:rPr>
          <w:rFonts w:eastAsia="標楷體" w:hint="eastAsia"/>
          <w:sz w:val="22"/>
          <w:szCs w:val="22"/>
          <w:lang w:eastAsia="zh-HK"/>
        </w:rPr>
        <w:t>或</w:t>
      </w:r>
      <w:r w:rsidR="00C76298" w:rsidRPr="000A5257">
        <w:rPr>
          <w:rFonts w:eastAsia="標楷體" w:hint="eastAsia"/>
          <w:sz w:val="22"/>
          <w:szCs w:val="22"/>
          <w:lang w:eastAsia="zh-HK"/>
        </w:rPr>
        <w:t>蔡進軒老師</w:t>
      </w:r>
      <w:r w:rsidRPr="000A5257">
        <w:rPr>
          <w:rFonts w:eastAsia="標楷體"/>
          <w:sz w:val="22"/>
          <w:szCs w:val="22"/>
        </w:rPr>
        <w:t>聯絡。只可遞交一次申請。確認申請後，請於</w:t>
      </w:r>
      <w:r w:rsidR="00DC6651" w:rsidRPr="000A5257">
        <w:rPr>
          <w:rFonts w:eastAsia="標楷體" w:hint="eastAsia"/>
          <w:sz w:val="22"/>
          <w:szCs w:val="22"/>
        </w:rPr>
        <w:t>兩</w:t>
      </w:r>
      <w:r w:rsidRPr="000A5257">
        <w:rPr>
          <w:rFonts w:eastAsia="標楷體"/>
          <w:sz w:val="22"/>
          <w:szCs w:val="22"/>
        </w:rPr>
        <w:t>天內於香港任何一間</w:t>
      </w:r>
      <w:r w:rsidR="00DC6651" w:rsidRPr="000A5257">
        <w:rPr>
          <w:rFonts w:eastAsia="標楷體" w:hint="eastAsia"/>
          <w:sz w:val="22"/>
          <w:szCs w:val="22"/>
        </w:rPr>
        <w:t xml:space="preserve">7-Eleven </w:t>
      </w:r>
      <w:r w:rsidR="00DC6651" w:rsidRPr="000A5257">
        <w:rPr>
          <w:rFonts w:eastAsia="標楷體" w:hint="eastAsia"/>
          <w:sz w:val="22"/>
          <w:szCs w:val="22"/>
        </w:rPr>
        <w:t>或</w:t>
      </w:r>
      <w:r w:rsidR="00DC6651" w:rsidRPr="000A5257">
        <w:rPr>
          <w:rFonts w:eastAsia="標楷體" w:hint="eastAsia"/>
          <w:sz w:val="22"/>
          <w:szCs w:val="22"/>
        </w:rPr>
        <w:t xml:space="preserve"> OK </w:t>
      </w:r>
      <w:r w:rsidR="00DC6651" w:rsidRPr="000A5257">
        <w:rPr>
          <w:rFonts w:eastAsia="標楷體" w:hint="eastAsia"/>
          <w:sz w:val="22"/>
          <w:szCs w:val="22"/>
        </w:rPr>
        <w:t>便</w:t>
      </w:r>
      <w:r w:rsidR="00DC6651" w:rsidRPr="000A5257">
        <w:rPr>
          <w:rFonts w:eastAsia="標楷體" w:hint="eastAsia"/>
          <w:sz w:val="22"/>
          <w:szCs w:val="22"/>
        </w:rPr>
        <w:t xml:space="preserve"> </w:t>
      </w:r>
      <w:r w:rsidR="00DC6651" w:rsidRPr="000A5257">
        <w:rPr>
          <w:rFonts w:eastAsia="標楷體" w:hint="eastAsia"/>
          <w:sz w:val="22"/>
          <w:szCs w:val="22"/>
        </w:rPr>
        <w:t>利</w:t>
      </w:r>
      <w:r w:rsidR="00DC6651" w:rsidRPr="000A5257">
        <w:rPr>
          <w:rFonts w:eastAsia="標楷體" w:hint="eastAsia"/>
          <w:sz w:val="22"/>
          <w:szCs w:val="22"/>
        </w:rPr>
        <w:t xml:space="preserve"> </w:t>
      </w:r>
      <w:r w:rsidR="00DC6651" w:rsidRPr="000A5257">
        <w:rPr>
          <w:rFonts w:eastAsia="標楷體" w:hint="eastAsia"/>
          <w:sz w:val="22"/>
          <w:szCs w:val="22"/>
        </w:rPr>
        <w:t>店</w:t>
      </w:r>
      <w:r w:rsidRPr="000A5257">
        <w:rPr>
          <w:rFonts w:eastAsia="標楷體"/>
          <w:sz w:val="22"/>
          <w:szCs w:val="22"/>
        </w:rPr>
        <w:t>繳交申請費用。覆核結果</w:t>
      </w:r>
      <w:r w:rsidR="00DA458F" w:rsidRPr="000A5257">
        <w:rPr>
          <w:rFonts w:eastAsia="標楷體" w:hint="eastAsia"/>
          <w:sz w:val="22"/>
          <w:szCs w:val="22"/>
          <w:lang w:eastAsia="zh-HK"/>
        </w:rPr>
        <w:t>暫定</w:t>
      </w:r>
      <w:r w:rsidRPr="000A5257">
        <w:rPr>
          <w:rFonts w:eastAsia="標楷體"/>
          <w:sz w:val="22"/>
          <w:szCs w:val="22"/>
        </w:rPr>
        <w:t>於</w:t>
      </w:r>
      <w:r w:rsidRPr="000A5257">
        <w:rPr>
          <w:rFonts w:eastAsia="標楷體"/>
          <w:sz w:val="22"/>
          <w:szCs w:val="22"/>
        </w:rPr>
        <w:t>8</w:t>
      </w:r>
      <w:r w:rsidRPr="000A5257">
        <w:rPr>
          <w:rFonts w:eastAsia="標楷體"/>
          <w:sz w:val="22"/>
          <w:szCs w:val="22"/>
        </w:rPr>
        <w:t>月</w:t>
      </w:r>
      <w:r w:rsidR="00C66A6F" w:rsidRPr="000A5257">
        <w:rPr>
          <w:rFonts w:eastAsia="標楷體" w:hint="eastAsia"/>
          <w:sz w:val="22"/>
          <w:szCs w:val="22"/>
        </w:rPr>
        <w:t>1</w:t>
      </w:r>
      <w:r w:rsidR="00244A7E">
        <w:rPr>
          <w:rFonts w:eastAsia="標楷體"/>
          <w:sz w:val="22"/>
          <w:szCs w:val="22"/>
        </w:rPr>
        <w:t>3</w:t>
      </w:r>
      <w:r w:rsidRPr="000A5257">
        <w:rPr>
          <w:rFonts w:eastAsia="標楷體"/>
          <w:sz w:val="22"/>
          <w:szCs w:val="22"/>
        </w:rPr>
        <w:t>日公佈。</w:t>
      </w:r>
    </w:p>
    <w:tbl>
      <w:tblPr>
        <w:tblW w:w="0" w:type="auto"/>
        <w:jc w:val="center"/>
        <w:tblLook w:val="0000" w:firstRow="0" w:lastRow="0" w:firstColumn="0" w:lastColumn="0" w:noHBand="0" w:noVBand="0"/>
      </w:tblPr>
      <w:tblGrid>
        <w:gridCol w:w="3076"/>
        <w:gridCol w:w="2253"/>
        <w:gridCol w:w="2254"/>
      </w:tblGrid>
      <w:tr w:rsidR="000A5257" w:rsidRPr="000A5257" w14:paraId="24934CB3" w14:textId="77777777" w:rsidTr="0092413F">
        <w:trPr>
          <w:jc w:val="center"/>
        </w:trPr>
        <w:tc>
          <w:tcPr>
            <w:tcW w:w="0" w:type="auto"/>
            <w:vAlign w:val="center"/>
          </w:tcPr>
          <w:p w14:paraId="2481C614" w14:textId="77777777" w:rsidR="00C76298" w:rsidRPr="000A5257" w:rsidRDefault="00C76298" w:rsidP="0092413F">
            <w:pPr>
              <w:tabs>
                <w:tab w:val="left" w:pos="0"/>
              </w:tabs>
              <w:snapToGrid w:val="0"/>
              <w:jc w:val="both"/>
              <w:rPr>
                <w:rFonts w:eastAsia="標楷體"/>
                <w:sz w:val="22"/>
                <w:szCs w:val="22"/>
                <w:u w:val="single"/>
              </w:rPr>
            </w:pPr>
            <w:r w:rsidRPr="000A5257">
              <w:rPr>
                <w:rFonts w:eastAsia="標楷體"/>
                <w:sz w:val="22"/>
                <w:szCs w:val="22"/>
                <w:u w:val="single"/>
              </w:rPr>
              <w:t>甲類科目</w:t>
            </w:r>
          </w:p>
        </w:tc>
        <w:tc>
          <w:tcPr>
            <w:tcW w:w="2253" w:type="dxa"/>
            <w:vAlign w:val="center"/>
          </w:tcPr>
          <w:p w14:paraId="2198A46A" w14:textId="77777777" w:rsidR="00C76298" w:rsidRPr="000A5257" w:rsidRDefault="00C76298" w:rsidP="0092413F">
            <w:pPr>
              <w:tabs>
                <w:tab w:val="left" w:pos="0"/>
              </w:tabs>
              <w:snapToGrid w:val="0"/>
              <w:jc w:val="center"/>
              <w:rPr>
                <w:rFonts w:eastAsia="標楷體"/>
                <w:sz w:val="22"/>
                <w:szCs w:val="22"/>
                <w:u w:val="single"/>
              </w:rPr>
            </w:pPr>
            <w:proofErr w:type="gramStart"/>
            <w:r w:rsidRPr="000A5257">
              <w:rPr>
                <w:rFonts w:eastAsia="標楷體"/>
                <w:sz w:val="22"/>
                <w:szCs w:val="22"/>
                <w:u w:val="single"/>
              </w:rPr>
              <w:t>重閱答</w:t>
            </w:r>
            <w:proofErr w:type="gramEnd"/>
            <w:r w:rsidRPr="000A5257">
              <w:rPr>
                <w:rFonts w:eastAsia="標楷體"/>
                <w:sz w:val="22"/>
                <w:szCs w:val="22"/>
                <w:u w:val="single"/>
              </w:rPr>
              <w:t>卷</w:t>
            </w:r>
          </w:p>
        </w:tc>
        <w:tc>
          <w:tcPr>
            <w:tcW w:w="2254" w:type="dxa"/>
            <w:vAlign w:val="center"/>
          </w:tcPr>
          <w:p w14:paraId="77E8445B" w14:textId="77777777" w:rsidR="00C76298" w:rsidRPr="000A5257" w:rsidRDefault="00C76298" w:rsidP="0092413F">
            <w:pPr>
              <w:tabs>
                <w:tab w:val="left" w:pos="0"/>
              </w:tabs>
              <w:snapToGrid w:val="0"/>
              <w:jc w:val="center"/>
              <w:rPr>
                <w:rFonts w:eastAsia="標楷體"/>
                <w:sz w:val="22"/>
                <w:szCs w:val="22"/>
                <w:u w:val="single"/>
              </w:rPr>
            </w:pPr>
            <w:r w:rsidRPr="000A5257">
              <w:rPr>
                <w:rFonts w:eastAsia="標楷體"/>
                <w:sz w:val="22"/>
                <w:szCs w:val="22"/>
                <w:u w:val="single"/>
              </w:rPr>
              <w:t>積分覆核</w:t>
            </w:r>
          </w:p>
        </w:tc>
      </w:tr>
      <w:tr w:rsidR="000A5257" w:rsidRPr="000A5257" w14:paraId="7D109B8C" w14:textId="77777777" w:rsidTr="0092413F">
        <w:trPr>
          <w:jc w:val="center"/>
        </w:trPr>
        <w:tc>
          <w:tcPr>
            <w:tcW w:w="0" w:type="auto"/>
            <w:vAlign w:val="center"/>
          </w:tcPr>
          <w:p w14:paraId="346C3895" w14:textId="77777777" w:rsidR="00C76298" w:rsidRPr="000A5257" w:rsidRDefault="00C76298" w:rsidP="0092413F">
            <w:pPr>
              <w:tabs>
                <w:tab w:val="left" w:pos="0"/>
              </w:tabs>
              <w:snapToGrid w:val="0"/>
              <w:spacing w:before="80"/>
              <w:jc w:val="both"/>
              <w:rPr>
                <w:rFonts w:eastAsia="標楷體"/>
                <w:sz w:val="22"/>
                <w:szCs w:val="22"/>
              </w:rPr>
            </w:pPr>
            <w:r w:rsidRPr="000A5257">
              <w:rPr>
                <w:rFonts w:eastAsia="標楷體"/>
                <w:sz w:val="22"/>
                <w:szCs w:val="22"/>
              </w:rPr>
              <w:t>非語文科目</w:t>
            </w:r>
          </w:p>
        </w:tc>
        <w:tc>
          <w:tcPr>
            <w:tcW w:w="2253" w:type="dxa"/>
            <w:vAlign w:val="center"/>
          </w:tcPr>
          <w:p w14:paraId="36C38D89" w14:textId="04D80553" w:rsidR="00C76298" w:rsidRPr="000A5257" w:rsidRDefault="00C76298" w:rsidP="0092413F">
            <w:pPr>
              <w:tabs>
                <w:tab w:val="left" w:pos="0"/>
              </w:tabs>
              <w:snapToGrid w:val="0"/>
              <w:spacing w:before="80"/>
              <w:jc w:val="center"/>
              <w:rPr>
                <w:rFonts w:eastAsia="標楷體"/>
                <w:sz w:val="22"/>
                <w:szCs w:val="22"/>
              </w:rPr>
            </w:pPr>
            <w:r w:rsidRPr="000A5257">
              <w:rPr>
                <w:rFonts w:eastAsia="標楷體"/>
                <w:sz w:val="22"/>
                <w:szCs w:val="22"/>
              </w:rPr>
              <w:t>$8</w:t>
            </w:r>
            <w:r w:rsidR="00645629">
              <w:rPr>
                <w:rFonts w:eastAsia="標楷體"/>
                <w:sz w:val="22"/>
                <w:szCs w:val="22"/>
              </w:rPr>
              <w:t>55</w:t>
            </w:r>
          </w:p>
        </w:tc>
        <w:tc>
          <w:tcPr>
            <w:tcW w:w="2254" w:type="dxa"/>
            <w:vAlign w:val="center"/>
          </w:tcPr>
          <w:p w14:paraId="07199FB5" w14:textId="67625ADC" w:rsidR="00C76298" w:rsidRPr="000A5257" w:rsidRDefault="00C76298" w:rsidP="0092413F">
            <w:pPr>
              <w:tabs>
                <w:tab w:val="left" w:pos="0"/>
              </w:tabs>
              <w:snapToGrid w:val="0"/>
              <w:spacing w:before="80"/>
              <w:jc w:val="center"/>
              <w:rPr>
                <w:rFonts w:eastAsia="標楷體"/>
                <w:sz w:val="22"/>
                <w:szCs w:val="22"/>
              </w:rPr>
            </w:pPr>
            <w:r w:rsidRPr="000A5257">
              <w:rPr>
                <w:rFonts w:eastAsia="標楷體"/>
                <w:sz w:val="22"/>
                <w:szCs w:val="22"/>
              </w:rPr>
              <w:t>$2</w:t>
            </w:r>
            <w:r w:rsidR="00675C0A">
              <w:rPr>
                <w:rFonts w:eastAsia="標楷體"/>
                <w:sz w:val="22"/>
                <w:szCs w:val="22"/>
              </w:rPr>
              <w:t>15</w:t>
            </w:r>
          </w:p>
        </w:tc>
      </w:tr>
      <w:tr w:rsidR="000A5257" w:rsidRPr="000A5257" w14:paraId="769C82C6" w14:textId="77777777" w:rsidTr="0092413F">
        <w:trPr>
          <w:jc w:val="center"/>
        </w:trPr>
        <w:tc>
          <w:tcPr>
            <w:tcW w:w="0" w:type="auto"/>
            <w:vAlign w:val="center"/>
          </w:tcPr>
          <w:p w14:paraId="41F22966" w14:textId="77777777" w:rsidR="00C76298" w:rsidRPr="000A5257" w:rsidRDefault="00C76298" w:rsidP="0092413F">
            <w:pPr>
              <w:tabs>
                <w:tab w:val="left" w:pos="0"/>
              </w:tabs>
              <w:snapToGrid w:val="0"/>
              <w:spacing w:before="80"/>
              <w:jc w:val="both"/>
              <w:rPr>
                <w:rFonts w:eastAsia="標楷體"/>
                <w:sz w:val="22"/>
                <w:szCs w:val="22"/>
              </w:rPr>
            </w:pPr>
            <w:r w:rsidRPr="000A5257">
              <w:rPr>
                <w:rFonts w:eastAsia="標楷體"/>
                <w:sz w:val="22"/>
                <w:szCs w:val="22"/>
              </w:rPr>
              <w:t>語文科目（口試除外）</w:t>
            </w:r>
          </w:p>
        </w:tc>
        <w:tc>
          <w:tcPr>
            <w:tcW w:w="2253" w:type="dxa"/>
            <w:vAlign w:val="center"/>
          </w:tcPr>
          <w:p w14:paraId="022AF4A4" w14:textId="77777777" w:rsidR="00C76298" w:rsidRPr="000A5257" w:rsidRDefault="00C76298" w:rsidP="0092413F">
            <w:pPr>
              <w:tabs>
                <w:tab w:val="left" w:pos="0"/>
              </w:tabs>
              <w:snapToGrid w:val="0"/>
              <w:spacing w:before="80"/>
              <w:jc w:val="center"/>
              <w:rPr>
                <w:rFonts w:eastAsia="標楷體"/>
                <w:sz w:val="22"/>
                <w:szCs w:val="22"/>
              </w:rPr>
            </w:pPr>
            <w:r w:rsidRPr="000A5257">
              <w:rPr>
                <w:rFonts w:eastAsia="標楷體"/>
                <w:sz w:val="22"/>
                <w:szCs w:val="22"/>
              </w:rPr>
              <w:t>$</w:t>
            </w:r>
            <w:r w:rsidRPr="000A5257">
              <w:rPr>
                <w:rFonts w:eastAsia="標楷體" w:hint="eastAsia"/>
                <w:sz w:val="22"/>
                <w:szCs w:val="22"/>
              </w:rPr>
              <w:t>9</w:t>
            </w:r>
            <w:r w:rsidRPr="000A5257">
              <w:rPr>
                <w:rFonts w:eastAsia="標楷體"/>
                <w:sz w:val="22"/>
                <w:szCs w:val="22"/>
              </w:rPr>
              <w:t>85</w:t>
            </w:r>
          </w:p>
        </w:tc>
        <w:tc>
          <w:tcPr>
            <w:tcW w:w="2254" w:type="dxa"/>
            <w:vAlign w:val="center"/>
          </w:tcPr>
          <w:p w14:paraId="44F7EF1A" w14:textId="268ACA0F" w:rsidR="00C76298" w:rsidRPr="000A5257" w:rsidRDefault="00C76298" w:rsidP="0092413F">
            <w:pPr>
              <w:tabs>
                <w:tab w:val="left" w:pos="0"/>
              </w:tabs>
              <w:snapToGrid w:val="0"/>
              <w:spacing w:before="80"/>
              <w:jc w:val="center"/>
              <w:rPr>
                <w:rFonts w:eastAsia="標楷體"/>
                <w:sz w:val="22"/>
                <w:szCs w:val="22"/>
              </w:rPr>
            </w:pPr>
            <w:r w:rsidRPr="000A5257">
              <w:rPr>
                <w:rFonts w:eastAsia="標楷體"/>
                <w:sz w:val="22"/>
                <w:szCs w:val="22"/>
              </w:rPr>
              <w:t>$</w:t>
            </w:r>
            <w:r w:rsidRPr="000A5257">
              <w:rPr>
                <w:rFonts w:eastAsia="標楷體" w:hint="eastAsia"/>
                <w:sz w:val="22"/>
                <w:szCs w:val="22"/>
              </w:rPr>
              <w:t>2</w:t>
            </w:r>
            <w:r w:rsidR="00675C0A">
              <w:rPr>
                <w:rFonts w:eastAsia="標楷體"/>
                <w:sz w:val="22"/>
                <w:szCs w:val="22"/>
              </w:rPr>
              <w:t>56</w:t>
            </w:r>
          </w:p>
        </w:tc>
      </w:tr>
      <w:tr w:rsidR="000A5257" w:rsidRPr="000A5257" w14:paraId="33F2235E" w14:textId="77777777" w:rsidTr="0092413F">
        <w:trPr>
          <w:jc w:val="center"/>
        </w:trPr>
        <w:tc>
          <w:tcPr>
            <w:tcW w:w="0" w:type="auto"/>
            <w:vAlign w:val="center"/>
          </w:tcPr>
          <w:p w14:paraId="0F3EEB6C" w14:textId="030C119A" w:rsidR="00C76298" w:rsidRPr="000A5257" w:rsidRDefault="00C76298" w:rsidP="0092413F">
            <w:pPr>
              <w:tabs>
                <w:tab w:val="left" w:pos="0"/>
              </w:tabs>
              <w:snapToGrid w:val="0"/>
              <w:spacing w:before="80"/>
              <w:jc w:val="both"/>
              <w:rPr>
                <w:rFonts w:eastAsia="標楷體"/>
                <w:sz w:val="22"/>
                <w:szCs w:val="22"/>
              </w:rPr>
            </w:pPr>
            <w:r w:rsidRPr="000A5257">
              <w:rPr>
                <w:rFonts w:eastAsia="標楷體" w:hint="eastAsia"/>
                <w:sz w:val="22"/>
                <w:szCs w:val="22"/>
              </w:rPr>
              <w:t>中國語文科分部</w:t>
            </w:r>
          </w:p>
        </w:tc>
        <w:tc>
          <w:tcPr>
            <w:tcW w:w="2253" w:type="dxa"/>
            <w:vAlign w:val="center"/>
          </w:tcPr>
          <w:p w14:paraId="7BDA3E8F" w14:textId="20E3D373" w:rsidR="00C76298" w:rsidRPr="000A5257" w:rsidRDefault="00C76298" w:rsidP="0092413F">
            <w:pPr>
              <w:tabs>
                <w:tab w:val="left" w:pos="0"/>
              </w:tabs>
              <w:snapToGrid w:val="0"/>
              <w:spacing w:before="80"/>
              <w:jc w:val="center"/>
              <w:rPr>
                <w:rFonts w:eastAsia="標楷體"/>
                <w:sz w:val="22"/>
                <w:szCs w:val="22"/>
              </w:rPr>
            </w:pPr>
            <w:r w:rsidRPr="000A5257">
              <w:rPr>
                <w:rFonts w:eastAsia="標楷體"/>
                <w:sz w:val="22"/>
                <w:szCs w:val="22"/>
              </w:rPr>
              <w:t>$</w:t>
            </w:r>
            <w:r w:rsidR="00675C0A">
              <w:rPr>
                <w:rFonts w:eastAsia="標楷體"/>
                <w:sz w:val="22"/>
                <w:szCs w:val="22"/>
              </w:rPr>
              <w:t>615</w:t>
            </w:r>
            <w:r w:rsidRPr="000A5257">
              <w:rPr>
                <w:rFonts w:eastAsia="標楷體"/>
                <w:sz w:val="22"/>
                <w:szCs w:val="22"/>
              </w:rPr>
              <w:t>(</w:t>
            </w:r>
            <w:r w:rsidRPr="000A5257">
              <w:rPr>
                <w:rFonts w:eastAsia="標楷體"/>
                <w:sz w:val="22"/>
                <w:szCs w:val="22"/>
              </w:rPr>
              <w:t>每分部</w:t>
            </w:r>
            <w:r w:rsidRPr="000A5257">
              <w:rPr>
                <w:rFonts w:eastAsia="標楷體"/>
                <w:sz w:val="22"/>
                <w:szCs w:val="22"/>
              </w:rPr>
              <w:t>)</w:t>
            </w:r>
          </w:p>
        </w:tc>
        <w:tc>
          <w:tcPr>
            <w:tcW w:w="2254" w:type="dxa"/>
            <w:vAlign w:val="center"/>
          </w:tcPr>
          <w:p w14:paraId="7E9EFA38" w14:textId="77777777" w:rsidR="00C76298" w:rsidRPr="000A5257" w:rsidRDefault="00C76298" w:rsidP="0092413F">
            <w:pPr>
              <w:tabs>
                <w:tab w:val="left" w:pos="0"/>
              </w:tabs>
              <w:snapToGrid w:val="0"/>
              <w:spacing w:before="80"/>
              <w:jc w:val="center"/>
              <w:rPr>
                <w:rFonts w:eastAsia="標楷體"/>
                <w:sz w:val="22"/>
                <w:szCs w:val="22"/>
              </w:rPr>
            </w:pPr>
            <w:r w:rsidRPr="000A5257">
              <w:rPr>
                <w:rFonts w:eastAsia="標楷體"/>
                <w:sz w:val="22"/>
                <w:szCs w:val="22"/>
              </w:rPr>
              <w:t>-</w:t>
            </w:r>
          </w:p>
        </w:tc>
      </w:tr>
      <w:tr w:rsidR="000A5257" w:rsidRPr="000A5257" w14:paraId="16FFDC7B" w14:textId="77777777" w:rsidTr="0092413F">
        <w:trPr>
          <w:jc w:val="center"/>
        </w:trPr>
        <w:tc>
          <w:tcPr>
            <w:tcW w:w="0" w:type="auto"/>
            <w:vAlign w:val="center"/>
          </w:tcPr>
          <w:p w14:paraId="6B438BB6" w14:textId="2C9CC019" w:rsidR="00C76298" w:rsidRPr="000A5257" w:rsidRDefault="00C76298" w:rsidP="0092413F">
            <w:pPr>
              <w:tabs>
                <w:tab w:val="left" w:pos="0"/>
              </w:tabs>
              <w:snapToGrid w:val="0"/>
              <w:spacing w:before="80"/>
              <w:jc w:val="both"/>
              <w:rPr>
                <w:rFonts w:eastAsia="標楷體"/>
                <w:sz w:val="22"/>
                <w:szCs w:val="22"/>
              </w:rPr>
            </w:pPr>
            <w:r w:rsidRPr="000A5257">
              <w:rPr>
                <w:rFonts w:eastAsia="標楷體" w:hint="eastAsia"/>
                <w:sz w:val="22"/>
                <w:szCs w:val="22"/>
              </w:rPr>
              <w:t>英國語文科分部（口試除外）</w:t>
            </w:r>
          </w:p>
        </w:tc>
        <w:tc>
          <w:tcPr>
            <w:tcW w:w="2253" w:type="dxa"/>
            <w:vAlign w:val="center"/>
          </w:tcPr>
          <w:p w14:paraId="1953B8A9" w14:textId="31D8D5F3" w:rsidR="00C76298" w:rsidRPr="000A5257" w:rsidRDefault="00C76298" w:rsidP="0092413F">
            <w:pPr>
              <w:tabs>
                <w:tab w:val="left" w:pos="0"/>
              </w:tabs>
              <w:snapToGrid w:val="0"/>
              <w:spacing w:before="80"/>
              <w:jc w:val="center"/>
              <w:rPr>
                <w:rFonts w:eastAsia="標楷體"/>
                <w:sz w:val="22"/>
                <w:szCs w:val="22"/>
              </w:rPr>
            </w:pPr>
            <w:r w:rsidRPr="000A5257">
              <w:rPr>
                <w:rFonts w:eastAsia="標楷體"/>
                <w:sz w:val="22"/>
                <w:szCs w:val="22"/>
              </w:rPr>
              <w:t>$</w:t>
            </w:r>
            <w:r w:rsidR="00675C0A">
              <w:rPr>
                <w:rFonts w:eastAsia="標楷體"/>
                <w:sz w:val="22"/>
                <w:szCs w:val="22"/>
              </w:rPr>
              <w:t>410</w:t>
            </w:r>
            <w:r w:rsidRPr="000A5257">
              <w:rPr>
                <w:rFonts w:eastAsia="標楷體"/>
                <w:sz w:val="22"/>
                <w:szCs w:val="22"/>
              </w:rPr>
              <w:t>(</w:t>
            </w:r>
            <w:r w:rsidRPr="000A5257">
              <w:rPr>
                <w:rFonts w:eastAsia="標楷體"/>
                <w:sz w:val="22"/>
                <w:szCs w:val="22"/>
              </w:rPr>
              <w:t>每分部</w:t>
            </w:r>
            <w:r w:rsidRPr="000A5257">
              <w:rPr>
                <w:rFonts w:eastAsia="標楷體"/>
                <w:sz w:val="22"/>
                <w:szCs w:val="22"/>
              </w:rPr>
              <w:t>)</w:t>
            </w:r>
          </w:p>
        </w:tc>
        <w:tc>
          <w:tcPr>
            <w:tcW w:w="2254" w:type="dxa"/>
            <w:vAlign w:val="center"/>
          </w:tcPr>
          <w:p w14:paraId="3BDFE278" w14:textId="77777777" w:rsidR="00C76298" w:rsidRPr="000A5257" w:rsidRDefault="00C76298" w:rsidP="0092413F">
            <w:pPr>
              <w:tabs>
                <w:tab w:val="left" w:pos="0"/>
              </w:tabs>
              <w:snapToGrid w:val="0"/>
              <w:spacing w:before="80"/>
              <w:jc w:val="center"/>
              <w:rPr>
                <w:rFonts w:eastAsia="標楷體"/>
                <w:sz w:val="22"/>
                <w:szCs w:val="22"/>
              </w:rPr>
            </w:pPr>
            <w:r w:rsidRPr="000A5257">
              <w:rPr>
                <w:rFonts w:eastAsia="標楷體"/>
                <w:sz w:val="22"/>
                <w:szCs w:val="22"/>
              </w:rPr>
              <w:t>-</w:t>
            </w:r>
          </w:p>
        </w:tc>
      </w:tr>
      <w:tr w:rsidR="000A5257" w:rsidRPr="000A5257" w14:paraId="2FA8D7E4" w14:textId="77777777" w:rsidTr="0092413F">
        <w:trPr>
          <w:jc w:val="center"/>
        </w:trPr>
        <w:tc>
          <w:tcPr>
            <w:tcW w:w="0" w:type="auto"/>
            <w:vAlign w:val="center"/>
          </w:tcPr>
          <w:p w14:paraId="6D51DDF6" w14:textId="1682B7AB" w:rsidR="00C76298" w:rsidRPr="000A5257" w:rsidRDefault="00C76298" w:rsidP="0092413F">
            <w:pPr>
              <w:tabs>
                <w:tab w:val="left" w:pos="0"/>
              </w:tabs>
              <w:snapToGrid w:val="0"/>
              <w:spacing w:before="80"/>
              <w:jc w:val="both"/>
              <w:rPr>
                <w:rFonts w:eastAsia="標楷體"/>
                <w:sz w:val="22"/>
                <w:szCs w:val="22"/>
              </w:rPr>
            </w:pPr>
            <w:r w:rsidRPr="000A5257">
              <w:rPr>
                <w:rFonts w:eastAsia="標楷體" w:hint="eastAsia"/>
                <w:sz w:val="22"/>
                <w:szCs w:val="22"/>
              </w:rPr>
              <w:t>英國語文科口試分部</w:t>
            </w:r>
          </w:p>
        </w:tc>
        <w:tc>
          <w:tcPr>
            <w:tcW w:w="2253" w:type="dxa"/>
            <w:vAlign w:val="center"/>
          </w:tcPr>
          <w:p w14:paraId="78BD2644" w14:textId="5B1722D9" w:rsidR="00C76298" w:rsidRPr="000A5257" w:rsidRDefault="00C76298" w:rsidP="0092413F">
            <w:pPr>
              <w:tabs>
                <w:tab w:val="left" w:pos="0"/>
              </w:tabs>
              <w:snapToGrid w:val="0"/>
              <w:spacing w:before="80"/>
              <w:jc w:val="center"/>
              <w:rPr>
                <w:rFonts w:eastAsia="標楷體"/>
                <w:sz w:val="22"/>
                <w:szCs w:val="22"/>
              </w:rPr>
            </w:pPr>
            <w:r w:rsidRPr="000A5257">
              <w:rPr>
                <w:rFonts w:eastAsia="標楷體"/>
                <w:sz w:val="22"/>
                <w:szCs w:val="22"/>
              </w:rPr>
              <w:t>$</w:t>
            </w:r>
            <w:r w:rsidR="00675C0A">
              <w:rPr>
                <w:rFonts w:eastAsia="標楷體"/>
                <w:sz w:val="22"/>
                <w:szCs w:val="22"/>
              </w:rPr>
              <w:t>818</w:t>
            </w:r>
          </w:p>
        </w:tc>
        <w:tc>
          <w:tcPr>
            <w:tcW w:w="2254" w:type="dxa"/>
            <w:vAlign w:val="center"/>
          </w:tcPr>
          <w:p w14:paraId="0B72014F" w14:textId="77777777" w:rsidR="00C76298" w:rsidRPr="000A5257" w:rsidRDefault="00C76298" w:rsidP="0092413F">
            <w:pPr>
              <w:tabs>
                <w:tab w:val="left" w:pos="0"/>
              </w:tabs>
              <w:snapToGrid w:val="0"/>
              <w:spacing w:before="80"/>
              <w:jc w:val="center"/>
              <w:rPr>
                <w:rFonts w:eastAsia="標楷體"/>
                <w:sz w:val="22"/>
                <w:szCs w:val="22"/>
              </w:rPr>
            </w:pPr>
            <w:r w:rsidRPr="000A5257">
              <w:rPr>
                <w:rFonts w:eastAsia="標楷體"/>
                <w:sz w:val="22"/>
                <w:szCs w:val="22"/>
              </w:rPr>
              <w:t>-</w:t>
            </w:r>
          </w:p>
        </w:tc>
      </w:tr>
      <w:tr w:rsidR="000A5257" w:rsidRPr="000A5257" w14:paraId="20F71B3F" w14:textId="77777777" w:rsidTr="0092413F">
        <w:trPr>
          <w:jc w:val="center"/>
        </w:trPr>
        <w:tc>
          <w:tcPr>
            <w:tcW w:w="0" w:type="auto"/>
            <w:vAlign w:val="center"/>
          </w:tcPr>
          <w:p w14:paraId="50E0FE83" w14:textId="77777777" w:rsidR="00C76298" w:rsidRPr="000A5257" w:rsidRDefault="00C76298" w:rsidP="0092413F">
            <w:pPr>
              <w:tabs>
                <w:tab w:val="left" w:pos="0"/>
              </w:tabs>
              <w:snapToGrid w:val="0"/>
              <w:jc w:val="both"/>
              <w:rPr>
                <w:rFonts w:eastAsia="標楷體"/>
                <w:sz w:val="22"/>
                <w:szCs w:val="22"/>
                <w:u w:val="single"/>
              </w:rPr>
            </w:pPr>
            <w:r w:rsidRPr="000A5257">
              <w:rPr>
                <w:rFonts w:eastAsia="標楷體"/>
                <w:sz w:val="22"/>
                <w:szCs w:val="22"/>
                <w:u w:val="single"/>
              </w:rPr>
              <w:t>乙類科目</w:t>
            </w:r>
          </w:p>
        </w:tc>
        <w:tc>
          <w:tcPr>
            <w:tcW w:w="2253" w:type="dxa"/>
            <w:vAlign w:val="center"/>
          </w:tcPr>
          <w:p w14:paraId="6290C639" w14:textId="1912E276" w:rsidR="00C76298" w:rsidRPr="000A5257" w:rsidRDefault="00C76298" w:rsidP="0092413F">
            <w:pPr>
              <w:tabs>
                <w:tab w:val="left" w:pos="0"/>
              </w:tabs>
              <w:snapToGrid w:val="0"/>
              <w:jc w:val="center"/>
              <w:rPr>
                <w:rFonts w:eastAsia="標楷體"/>
                <w:sz w:val="22"/>
                <w:szCs w:val="22"/>
              </w:rPr>
            </w:pPr>
            <w:r w:rsidRPr="000A5257">
              <w:rPr>
                <w:rFonts w:eastAsia="標楷體" w:hint="eastAsia"/>
                <w:sz w:val="22"/>
                <w:szCs w:val="22"/>
              </w:rPr>
              <w:t>-</w:t>
            </w:r>
          </w:p>
        </w:tc>
        <w:tc>
          <w:tcPr>
            <w:tcW w:w="2254" w:type="dxa"/>
            <w:vAlign w:val="center"/>
          </w:tcPr>
          <w:p w14:paraId="6711625B" w14:textId="11C4BB00" w:rsidR="00C76298" w:rsidRPr="000A5257" w:rsidRDefault="00C76298" w:rsidP="0092413F">
            <w:pPr>
              <w:tabs>
                <w:tab w:val="left" w:pos="0"/>
              </w:tabs>
              <w:snapToGrid w:val="0"/>
              <w:jc w:val="center"/>
              <w:rPr>
                <w:rFonts w:eastAsia="標楷體"/>
                <w:sz w:val="22"/>
                <w:szCs w:val="22"/>
              </w:rPr>
            </w:pPr>
            <w:r w:rsidRPr="000A5257">
              <w:rPr>
                <w:rFonts w:eastAsia="標楷體"/>
                <w:sz w:val="22"/>
                <w:szCs w:val="22"/>
              </w:rPr>
              <w:t>$2</w:t>
            </w:r>
            <w:r w:rsidR="00675C0A">
              <w:rPr>
                <w:rFonts w:eastAsia="標楷體"/>
                <w:sz w:val="22"/>
                <w:szCs w:val="22"/>
              </w:rPr>
              <w:t>15</w:t>
            </w:r>
          </w:p>
        </w:tc>
      </w:tr>
    </w:tbl>
    <w:p w14:paraId="5CF251E3" w14:textId="573C5C16" w:rsidR="00C76298" w:rsidRPr="000A5257" w:rsidRDefault="00C76298" w:rsidP="002C3D01">
      <w:pPr>
        <w:snapToGrid w:val="0"/>
        <w:spacing w:before="80" w:after="100"/>
        <w:jc w:val="both"/>
        <w:rPr>
          <w:rFonts w:eastAsia="標楷體"/>
          <w:sz w:val="22"/>
          <w:szCs w:val="22"/>
        </w:rPr>
      </w:pPr>
    </w:p>
    <w:p w14:paraId="05BD9CF6" w14:textId="77777777" w:rsidR="000A5257" w:rsidRPr="000A5257" w:rsidRDefault="000A5257" w:rsidP="000A5257">
      <w:pPr>
        <w:jc w:val="both"/>
        <w:rPr>
          <w:rFonts w:eastAsia="標楷體"/>
          <w:b/>
          <w:bCs/>
          <w:sz w:val="22"/>
          <w:szCs w:val="22"/>
        </w:rPr>
      </w:pPr>
      <w:r w:rsidRPr="000A5257">
        <w:rPr>
          <w:rFonts w:eastAsia="標楷體"/>
          <w:b/>
          <w:bCs/>
          <w:sz w:val="22"/>
          <w:szCs w:val="22"/>
        </w:rPr>
        <w:t>大學聯合招生辦法</w:t>
      </w:r>
      <w:r w:rsidRPr="000A5257">
        <w:rPr>
          <w:rFonts w:eastAsia="標楷體"/>
          <w:b/>
          <w:bCs/>
          <w:sz w:val="22"/>
          <w:szCs w:val="22"/>
        </w:rPr>
        <w:t xml:space="preserve"> JUPAS</w:t>
      </w:r>
    </w:p>
    <w:p w14:paraId="563B4529" w14:textId="51B5C6A6" w:rsidR="000A5257" w:rsidRPr="000A5257" w:rsidRDefault="000A5257" w:rsidP="000A5257">
      <w:pPr>
        <w:jc w:val="both"/>
        <w:rPr>
          <w:rFonts w:eastAsia="標楷體"/>
          <w:sz w:val="22"/>
          <w:szCs w:val="22"/>
        </w:rPr>
      </w:pPr>
      <w:r w:rsidRPr="000A5257">
        <w:rPr>
          <w:rFonts w:eastAsia="標楷體"/>
          <w:sz w:val="22"/>
          <w:szCs w:val="22"/>
        </w:rPr>
        <w:t>申請人已可登入網上申請系統查閱獲分配之個人改選時段，並在</w:t>
      </w:r>
      <w:r w:rsidRPr="000A5257">
        <w:rPr>
          <w:rFonts w:eastAsia="標楷體"/>
          <w:sz w:val="22"/>
          <w:szCs w:val="22"/>
        </w:rPr>
        <w:t>7</w:t>
      </w:r>
      <w:r w:rsidRPr="000A5257">
        <w:rPr>
          <w:rFonts w:eastAsia="標楷體"/>
          <w:sz w:val="22"/>
          <w:szCs w:val="22"/>
        </w:rPr>
        <w:t>月</w:t>
      </w:r>
      <w:r w:rsidRPr="000A5257">
        <w:rPr>
          <w:rFonts w:eastAsia="標楷體"/>
          <w:sz w:val="22"/>
          <w:szCs w:val="22"/>
        </w:rPr>
        <w:t>1</w:t>
      </w:r>
      <w:r w:rsidR="003D6430">
        <w:rPr>
          <w:rFonts w:eastAsia="標楷體"/>
          <w:sz w:val="22"/>
          <w:szCs w:val="22"/>
        </w:rPr>
        <w:t>7</w:t>
      </w:r>
      <w:r w:rsidRPr="000A5257">
        <w:rPr>
          <w:rFonts w:eastAsia="標楷體"/>
          <w:sz w:val="22"/>
          <w:szCs w:val="22"/>
        </w:rPr>
        <w:t>日至</w:t>
      </w:r>
      <w:r w:rsidRPr="000A5257">
        <w:rPr>
          <w:rFonts w:eastAsia="標楷體"/>
          <w:sz w:val="22"/>
          <w:szCs w:val="22"/>
        </w:rPr>
        <w:t>7</w:t>
      </w:r>
      <w:r w:rsidRPr="000A5257">
        <w:rPr>
          <w:rFonts w:eastAsia="標楷體"/>
          <w:sz w:val="22"/>
          <w:szCs w:val="22"/>
        </w:rPr>
        <w:t>月</w:t>
      </w:r>
      <w:r w:rsidR="003D6430">
        <w:rPr>
          <w:rFonts w:eastAsia="標楷體"/>
          <w:sz w:val="22"/>
          <w:szCs w:val="22"/>
        </w:rPr>
        <w:t>19</w:t>
      </w:r>
      <w:r w:rsidRPr="000A5257">
        <w:rPr>
          <w:rFonts w:eastAsia="標楷體"/>
          <w:sz w:val="22"/>
          <w:szCs w:val="22"/>
        </w:rPr>
        <w:t>日期間於</w:t>
      </w:r>
      <w:r w:rsidRPr="000A5257">
        <w:rPr>
          <w:rFonts w:eastAsia="標楷體"/>
          <w:b/>
          <w:bCs/>
          <w:sz w:val="22"/>
          <w:szCs w:val="22"/>
          <w:u w:val="single"/>
        </w:rPr>
        <w:t>獲分配之個人時段</w:t>
      </w:r>
      <w:r w:rsidRPr="000A5257">
        <w:rPr>
          <w:rFonts w:eastAsia="標楷體"/>
          <w:sz w:val="22"/>
          <w:szCs w:val="22"/>
        </w:rPr>
        <w:t>就課程選擇作出以下修改：</w:t>
      </w:r>
    </w:p>
    <w:p w14:paraId="3AD90DC9" w14:textId="77777777" w:rsidR="000A5257" w:rsidRPr="000A5257" w:rsidRDefault="000A5257" w:rsidP="000A5257">
      <w:pPr>
        <w:numPr>
          <w:ilvl w:val="0"/>
          <w:numId w:val="2"/>
        </w:numPr>
        <w:jc w:val="both"/>
        <w:rPr>
          <w:rFonts w:eastAsia="標楷體"/>
          <w:sz w:val="22"/>
          <w:szCs w:val="22"/>
        </w:rPr>
      </w:pPr>
      <w:r w:rsidRPr="000A5257">
        <w:rPr>
          <w:rFonts w:eastAsia="標楷體"/>
          <w:sz w:val="22"/>
          <w:szCs w:val="22"/>
        </w:rPr>
        <w:t>以新課程取代課程選擇名單上</w:t>
      </w:r>
      <w:r w:rsidRPr="000A5257">
        <w:rPr>
          <w:rFonts w:eastAsia="標楷體" w:hint="eastAsia"/>
          <w:sz w:val="22"/>
          <w:szCs w:val="22"/>
        </w:rPr>
        <w:t>最多</w:t>
      </w:r>
      <w:r w:rsidRPr="000A5257">
        <w:rPr>
          <w:rFonts w:eastAsia="標楷體"/>
          <w:sz w:val="22"/>
          <w:szCs w:val="22"/>
        </w:rPr>
        <w:t>5</w:t>
      </w:r>
      <w:r w:rsidRPr="000A5257">
        <w:rPr>
          <w:rFonts w:eastAsia="標楷體"/>
          <w:sz w:val="22"/>
          <w:szCs w:val="22"/>
        </w:rPr>
        <w:t>項課程選擇／增選最多</w:t>
      </w:r>
      <w:r w:rsidRPr="000A5257">
        <w:rPr>
          <w:rFonts w:eastAsia="標楷體"/>
          <w:sz w:val="22"/>
          <w:szCs w:val="22"/>
        </w:rPr>
        <w:t>5</w:t>
      </w:r>
      <w:r w:rsidRPr="000A5257">
        <w:rPr>
          <w:rFonts w:eastAsia="標楷體"/>
          <w:sz w:val="22"/>
          <w:szCs w:val="22"/>
        </w:rPr>
        <w:t>項新課程至原有的課程選擇名單上（惟全部課程選擇不得多於</w:t>
      </w:r>
      <w:r w:rsidRPr="000A5257">
        <w:rPr>
          <w:rFonts w:eastAsia="標楷體"/>
          <w:sz w:val="22"/>
          <w:szCs w:val="22"/>
        </w:rPr>
        <w:t>20</w:t>
      </w:r>
      <w:r w:rsidRPr="000A5257">
        <w:rPr>
          <w:rFonts w:eastAsia="標楷體"/>
          <w:sz w:val="22"/>
          <w:szCs w:val="22"/>
        </w:rPr>
        <w:t>項）</w:t>
      </w:r>
    </w:p>
    <w:p w14:paraId="33F2B455" w14:textId="77777777" w:rsidR="000A5257" w:rsidRPr="000A5257" w:rsidRDefault="000A5257" w:rsidP="000A5257">
      <w:pPr>
        <w:numPr>
          <w:ilvl w:val="0"/>
          <w:numId w:val="2"/>
        </w:numPr>
        <w:jc w:val="both"/>
        <w:rPr>
          <w:rFonts w:eastAsia="標楷體"/>
          <w:sz w:val="22"/>
          <w:szCs w:val="22"/>
        </w:rPr>
      </w:pPr>
      <w:r w:rsidRPr="000A5257">
        <w:rPr>
          <w:rFonts w:eastAsia="標楷體" w:hint="eastAsia"/>
          <w:sz w:val="22"/>
          <w:szCs w:val="22"/>
        </w:rPr>
        <w:t>重新排列</w:t>
      </w:r>
      <w:r w:rsidRPr="000A5257">
        <w:rPr>
          <w:rFonts w:eastAsia="標楷體"/>
          <w:sz w:val="22"/>
          <w:szCs w:val="22"/>
        </w:rPr>
        <w:t>已選報課程選擇的優先次序</w:t>
      </w:r>
    </w:p>
    <w:p w14:paraId="00FCF255" w14:textId="77777777" w:rsidR="000A5257" w:rsidRPr="000A5257" w:rsidRDefault="000A5257" w:rsidP="000A5257">
      <w:pPr>
        <w:numPr>
          <w:ilvl w:val="0"/>
          <w:numId w:val="2"/>
        </w:numPr>
        <w:jc w:val="both"/>
        <w:rPr>
          <w:rFonts w:eastAsia="標楷體"/>
          <w:sz w:val="22"/>
          <w:szCs w:val="22"/>
        </w:rPr>
      </w:pPr>
      <w:r w:rsidRPr="000A5257">
        <w:rPr>
          <w:rFonts w:eastAsia="標楷體"/>
          <w:sz w:val="22"/>
          <w:szCs w:val="22"/>
        </w:rPr>
        <w:t>刪除課程選擇名單上的課程</w:t>
      </w:r>
    </w:p>
    <w:p w14:paraId="02E94501" w14:textId="77777777" w:rsidR="000A5257" w:rsidRPr="000A5257" w:rsidRDefault="000A5257" w:rsidP="000A5257">
      <w:pPr>
        <w:jc w:val="both"/>
        <w:rPr>
          <w:rFonts w:eastAsia="標楷體"/>
          <w:sz w:val="22"/>
          <w:szCs w:val="22"/>
        </w:rPr>
      </w:pPr>
    </w:p>
    <w:p w14:paraId="4A08EB97" w14:textId="77777777" w:rsidR="000A5257" w:rsidRPr="000A5257" w:rsidRDefault="000A5257" w:rsidP="000A5257">
      <w:pPr>
        <w:jc w:val="both"/>
        <w:rPr>
          <w:rFonts w:eastAsia="標楷體"/>
          <w:sz w:val="22"/>
          <w:szCs w:val="22"/>
        </w:rPr>
      </w:pPr>
    </w:p>
    <w:p w14:paraId="5342D5FB" w14:textId="77777777" w:rsidR="000A5257" w:rsidRPr="000A5257" w:rsidRDefault="000A5257" w:rsidP="000A5257">
      <w:pPr>
        <w:jc w:val="both"/>
        <w:rPr>
          <w:rFonts w:eastAsia="標楷體"/>
          <w:b/>
          <w:bCs/>
          <w:sz w:val="22"/>
          <w:szCs w:val="22"/>
        </w:rPr>
      </w:pPr>
      <w:r w:rsidRPr="000A5257">
        <w:rPr>
          <w:rFonts w:eastAsia="標楷體"/>
          <w:b/>
          <w:bCs/>
          <w:sz w:val="22"/>
          <w:szCs w:val="22"/>
        </w:rPr>
        <w:t>非聯招專上課程</w:t>
      </w:r>
    </w:p>
    <w:p w14:paraId="4617F2C6" w14:textId="77777777" w:rsidR="000A5257" w:rsidRPr="000A5257" w:rsidRDefault="000A5257" w:rsidP="000A5257">
      <w:pPr>
        <w:pStyle w:val="Default"/>
        <w:jc w:val="both"/>
        <w:rPr>
          <w:rFonts w:ascii="Times New Roman" w:eastAsia="標楷體"/>
          <w:color w:val="auto"/>
          <w:sz w:val="22"/>
          <w:szCs w:val="22"/>
        </w:rPr>
      </w:pPr>
      <w:r w:rsidRPr="000A5257">
        <w:rPr>
          <w:rFonts w:ascii="Times New Roman" w:eastAsia="標楷體"/>
          <w:color w:val="auto"/>
          <w:sz w:val="22"/>
          <w:szCs w:val="22"/>
        </w:rPr>
        <w:t>一般情況下，符合有條件</w:t>
      </w:r>
      <w:proofErr w:type="gramStart"/>
      <w:r w:rsidRPr="000A5257">
        <w:rPr>
          <w:rFonts w:ascii="Times New Roman" w:eastAsia="標楷體"/>
          <w:color w:val="auto"/>
          <w:sz w:val="22"/>
          <w:szCs w:val="22"/>
        </w:rPr>
        <w:t>取錄／暫取錄</w:t>
      </w:r>
      <w:proofErr w:type="gramEnd"/>
      <w:r w:rsidRPr="000A5257">
        <w:rPr>
          <w:rFonts w:ascii="Times New Roman" w:eastAsia="標楷體"/>
          <w:color w:val="auto"/>
          <w:sz w:val="22"/>
          <w:szCs w:val="22"/>
        </w:rPr>
        <w:t>資格要求的申請人須根據個別院校的指示確認</w:t>
      </w:r>
      <w:proofErr w:type="gramStart"/>
      <w:r w:rsidRPr="000A5257">
        <w:rPr>
          <w:rFonts w:ascii="Times New Roman" w:eastAsia="標楷體"/>
          <w:color w:val="auto"/>
          <w:sz w:val="22"/>
          <w:szCs w:val="22"/>
        </w:rPr>
        <w:t>接受取</w:t>
      </w:r>
      <w:proofErr w:type="gramEnd"/>
      <w:r w:rsidRPr="000A5257">
        <w:rPr>
          <w:rFonts w:ascii="Times New Roman" w:eastAsia="標楷體"/>
          <w:color w:val="auto"/>
          <w:sz w:val="22"/>
          <w:szCs w:val="22"/>
        </w:rPr>
        <w:t>錄，並根據個別院校指定日期於前繳交</w:t>
      </w:r>
      <w:proofErr w:type="gramStart"/>
      <w:r w:rsidRPr="000A5257">
        <w:rPr>
          <w:rFonts w:ascii="Times New Roman" w:eastAsia="標楷體"/>
          <w:color w:val="auto"/>
          <w:sz w:val="22"/>
          <w:szCs w:val="22"/>
        </w:rPr>
        <w:t>留位</w:t>
      </w:r>
      <w:proofErr w:type="gramEnd"/>
      <w:r w:rsidRPr="000A5257">
        <w:rPr>
          <w:rFonts w:ascii="Times New Roman" w:eastAsia="標楷體"/>
          <w:color w:val="auto"/>
          <w:sz w:val="22"/>
          <w:szCs w:val="22"/>
        </w:rPr>
        <w:t>費。</w:t>
      </w:r>
    </w:p>
    <w:p w14:paraId="1FC961AF" w14:textId="1CA94322" w:rsidR="000A5257" w:rsidRPr="000A5257" w:rsidRDefault="000A5257" w:rsidP="000A5257">
      <w:pPr>
        <w:pStyle w:val="Default"/>
        <w:jc w:val="both"/>
        <w:rPr>
          <w:rFonts w:ascii="Times New Roman" w:eastAsia="標楷體"/>
          <w:color w:val="auto"/>
          <w:sz w:val="22"/>
          <w:szCs w:val="22"/>
        </w:rPr>
      </w:pPr>
      <w:r w:rsidRPr="000A5257">
        <w:rPr>
          <w:rFonts w:ascii="Times New Roman" w:eastAsia="標楷體"/>
          <w:color w:val="auto"/>
          <w:sz w:val="22"/>
          <w:szCs w:val="22"/>
        </w:rPr>
        <w:t>經</w:t>
      </w:r>
      <w:r w:rsidRPr="000A5257">
        <w:rPr>
          <w:rFonts w:ascii="Times New Roman" w:eastAsia="標楷體"/>
          <w:color w:val="auto"/>
          <w:sz w:val="22"/>
          <w:szCs w:val="22"/>
        </w:rPr>
        <w:t>E-APP</w:t>
      </w:r>
      <w:r w:rsidRPr="000A5257">
        <w:rPr>
          <w:rFonts w:ascii="Times New Roman" w:eastAsia="標楷體"/>
          <w:color w:val="auto"/>
          <w:sz w:val="22"/>
          <w:szCs w:val="22"/>
        </w:rPr>
        <w:t>申請非聯招副學位及學士學位課程的次輪申請已於</w:t>
      </w:r>
      <w:r w:rsidRPr="000A5257">
        <w:rPr>
          <w:rFonts w:ascii="Times New Roman" w:eastAsia="標楷體" w:hint="eastAsia"/>
          <w:color w:val="auto"/>
          <w:sz w:val="22"/>
          <w:szCs w:val="22"/>
        </w:rPr>
        <w:t>7</w:t>
      </w:r>
      <w:r w:rsidRPr="000A5257">
        <w:rPr>
          <w:rFonts w:ascii="Times New Roman" w:eastAsia="標楷體"/>
          <w:color w:val="auto"/>
          <w:sz w:val="22"/>
          <w:szCs w:val="22"/>
        </w:rPr>
        <w:t>月</w:t>
      </w:r>
      <w:r w:rsidR="003D6430">
        <w:rPr>
          <w:rFonts w:ascii="Times New Roman" w:eastAsia="標楷體"/>
          <w:color w:val="auto"/>
          <w:sz w:val="22"/>
          <w:szCs w:val="22"/>
        </w:rPr>
        <w:t>7</w:t>
      </w:r>
      <w:r w:rsidRPr="000A5257">
        <w:rPr>
          <w:rFonts w:ascii="Times New Roman" w:eastAsia="標楷體"/>
          <w:color w:val="auto"/>
          <w:sz w:val="22"/>
          <w:szCs w:val="22"/>
        </w:rPr>
        <w:t>日截止，報名須逕自向個別院校提交申請。</w:t>
      </w:r>
    </w:p>
    <w:p w14:paraId="0BB5428E" w14:textId="77777777" w:rsidR="000A5257" w:rsidRPr="000A5257" w:rsidRDefault="000A5257" w:rsidP="000A5257">
      <w:pPr>
        <w:rPr>
          <w:rFonts w:eastAsia="標楷體"/>
          <w:sz w:val="22"/>
          <w:szCs w:val="22"/>
        </w:rPr>
      </w:pPr>
      <w:r w:rsidRPr="000A5257">
        <w:rPr>
          <w:rFonts w:eastAsia="標楷體"/>
          <w:sz w:val="22"/>
          <w:szCs w:val="22"/>
        </w:rPr>
        <w:t>經評審專上課程資料網</w:t>
      </w:r>
      <w:proofErr w:type="spellStart"/>
      <w:r w:rsidRPr="000A5257">
        <w:rPr>
          <w:rFonts w:eastAsia="標楷體"/>
          <w:sz w:val="22"/>
          <w:szCs w:val="22"/>
        </w:rPr>
        <w:t>iPASS</w:t>
      </w:r>
      <w:proofErr w:type="spellEnd"/>
      <w:r w:rsidRPr="000A5257">
        <w:rPr>
          <w:rFonts w:eastAsia="標楷體"/>
          <w:sz w:val="22"/>
          <w:szCs w:val="22"/>
        </w:rPr>
        <w:t xml:space="preserve"> (</w:t>
      </w:r>
      <w:hyperlink r:id="rId7" w:history="1">
        <w:r w:rsidRPr="000A5257">
          <w:rPr>
            <w:rStyle w:val="a3"/>
            <w:rFonts w:eastAsia="標楷體"/>
            <w:color w:val="auto"/>
            <w:sz w:val="22"/>
            <w:szCs w:val="22"/>
          </w:rPr>
          <w:t>http://www.ipass.gov.hk</w:t>
        </w:r>
      </w:hyperlink>
      <w:r w:rsidRPr="000A5257">
        <w:rPr>
          <w:rFonts w:eastAsia="標楷體"/>
          <w:sz w:val="22"/>
          <w:szCs w:val="22"/>
        </w:rPr>
        <w:t xml:space="preserve">) </w:t>
      </w:r>
      <w:r w:rsidRPr="000A5257">
        <w:rPr>
          <w:rFonts w:eastAsia="標楷體"/>
          <w:sz w:val="22"/>
          <w:szCs w:val="22"/>
        </w:rPr>
        <w:t>提供自資全日制經評審專上課程資料。</w:t>
      </w:r>
    </w:p>
    <w:p w14:paraId="43C6FC1B" w14:textId="77777777" w:rsidR="000A5257" w:rsidRPr="000A5257" w:rsidRDefault="000A5257" w:rsidP="000A5257">
      <w:pPr>
        <w:jc w:val="both"/>
        <w:rPr>
          <w:rFonts w:eastAsia="標楷體"/>
          <w:sz w:val="22"/>
          <w:szCs w:val="22"/>
        </w:rPr>
      </w:pPr>
    </w:p>
    <w:p w14:paraId="43C26C54" w14:textId="77777777" w:rsidR="000A5257" w:rsidRPr="000A5257" w:rsidRDefault="000A5257" w:rsidP="000A5257">
      <w:pPr>
        <w:jc w:val="both"/>
        <w:rPr>
          <w:rFonts w:eastAsia="標楷體"/>
          <w:sz w:val="22"/>
          <w:szCs w:val="22"/>
        </w:rPr>
      </w:pPr>
    </w:p>
    <w:p w14:paraId="14C2A829" w14:textId="77777777" w:rsidR="000A5257" w:rsidRPr="000A5257" w:rsidRDefault="000A5257" w:rsidP="000A5257">
      <w:pPr>
        <w:jc w:val="both"/>
        <w:rPr>
          <w:rFonts w:eastAsia="標楷體"/>
          <w:b/>
          <w:bCs/>
          <w:sz w:val="22"/>
          <w:szCs w:val="22"/>
        </w:rPr>
      </w:pPr>
      <w:r w:rsidRPr="000A5257">
        <w:rPr>
          <w:rFonts w:eastAsia="標楷體"/>
          <w:b/>
          <w:bCs/>
          <w:sz w:val="22"/>
          <w:szCs w:val="22"/>
        </w:rPr>
        <w:t>VTC</w:t>
      </w:r>
      <w:r w:rsidRPr="000A5257">
        <w:rPr>
          <w:rFonts w:eastAsia="標楷體"/>
          <w:b/>
          <w:bCs/>
          <w:sz w:val="22"/>
          <w:szCs w:val="22"/>
        </w:rPr>
        <w:t>課程</w:t>
      </w:r>
    </w:p>
    <w:p w14:paraId="0AB9F7FA" w14:textId="43B28004" w:rsidR="000A5257" w:rsidRPr="000A5257" w:rsidRDefault="000A5257" w:rsidP="000A5257">
      <w:pPr>
        <w:adjustRightInd w:val="0"/>
        <w:snapToGrid w:val="0"/>
        <w:ind w:left="220" w:hangingChars="100" w:hanging="220"/>
        <w:jc w:val="both"/>
        <w:rPr>
          <w:rFonts w:eastAsia="標楷體"/>
          <w:sz w:val="22"/>
        </w:rPr>
      </w:pPr>
      <w:r w:rsidRPr="000A5257">
        <w:rPr>
          <w:rFonts w:eastAsia="標楷體"/>
          <w:sz w:val="22"/>
        </w:rPr>
        <w:t xml:space="preserve">- </w:t>
      </w:r>
      <w:r w:rsidRPr="000A5257">
        <w:rPr>
          <w:rFonts w:eastAsia="標楷體"/>
          <w:sz w:val="22"/>
        </w:rPr>
        <w:t>於</w:t>
      </w:r>
      <w:r w:rsidRPr="000A5257">
        <w:rPr>
          <w:rFonts w:eastAsia="標楷體"/>
          <w:sz w:val="22"/>
        </w:rPr>
        <w:t>7</w:t>
      </w:r>
      <w:r w:rsidRPr="000A5257">
        <w:rPr>
          <w:rFonts w:eastAsia="標楷體"/>
          <w:sz w:val="22"/>
        </w:rPr>
        <w:t>月</w:t>
      </w:r>
      <w:r w:rsidRPr="000A5257">
        <w:rPr>
          <w:rFonts w:eastAsia="標楷體"/>
          <w:sz w:val="22"/>
        </w:rPr>
        <w:t>1</w:t>
      </w:r>
      <w:r w:rsidR="00D7701F">
        <w:rPr>
          <w:rFonts w:eastAsia="標楷體"/>
          <w:sz w:val="22"/>
        </w:rPr>
        <w:t>5</w:t>
      </w:r>
      <w:r w:rsidRPr="000A5257">
        <w:rPr>
          <w:rFonts w:eastAsia="標楷體"/>
          <w:sz w:val="22"/>
        </w:rPr>
        <w:t>日或之前遞交的入學申請人，可於</w:t>
      </w:r>
      <w:r w:rsidRPr="000A5257">
        <w:rPr>
          <w:rFonts w:eastAsia="標楷體"/>
          <w:sz w:val="22"/>
        </w:rPr>
        <w:t>7</w:t>
      </w:r>
      <w:r w:rsidRPr="000A5257">
        <w:rPr>
          <w:rFonts w:eastAsia="標楷體"/>
          <w:sz w:val="22"/>
        </w:rPr>
        <w:t>月</w:t>
      </w:r>
      <w:r w:rsidRPr="000A5257">
        <w:rPr>
          <w:rFonts w:eastAsia="標楷體" w:hint="eastAsia"/>
          <w:sz w:val="22"/>
        </w:rPr>
        <w:t>1</w:t>
      </w:r>
      <w:r w:rsidR="00D7701F">
        <w:rPr>
          <w:rFonts w:eastAsia="標楷體"/>
          <w:sz w:val="22"/>
        </w:rPr>
        <w:t>6</w:t>
      </w:r>
      <w:r w:rsidRPr="000A5257">
        <w:rPr>
          <w:rFonts w:eastAsia="標楷體"/>
          <w:sz w:val="22"/>
        </w:rPr>
        <w:t>日上午</w:t>
      </w:r>
      <w:r w:rsidRPr="000A5257">
        <w:rPr>
          <w:rFonts w:eastAsia="標楷體"/>
          <w:sz w:val="22"/>
        </w:rPr>
        <w:t>9</w:t>
      </w:r>
      <w:r w:rsidRPr="000A5257">
        <w:rPr>
          <w:rFonts w:eastAsia="標楷體"/>
          <w:sz w:val="22"/>
        </w:rPr>
        <w:t>時起透過「</w:t>
      </w:r>
      <w:r w:rsidRPr="000A5257">
        <w:rPr>
          <w:rFonts w:eastAsia="標楷體"/>
          <w:sz w:val="22"/>
        </w:rPr>
        <w:t xml:space="preserve">VTC </w:t>
      </w:r>
      <w:r w:rsidRPr="000A5257">
        <w:rPr>
          <w:rFonts w:eastAsia="標楷體"/>
          <w:sz w:val="22"/>
        </w:rPr>
        <w:t>中六入學申請平台」</w:t>
      </w:r>
      <w:proofErr w:type="gramStart"/>
      <w:r w:rsidRPr="000A5257">
        <w:rPr>
          <w:rFonts w:eastAsia="標楷體"/>
          <w:sz w:val="22"/>
        </w:rPr>
        <w:t>查閱取錄通知</w:t>
      </w:r>
      <w:proofErr w:type="gramEnd"/>
      <w:r w:rsidRPr="000A5257">
        <w:rPr>
          <w:rFonts w:eastAsia="標楷體"/>
          <w:sz w:val="22"/>
        </w:rPr>
        <w:t>。如獲「</w:t>
      </w:r>
      <w:proofErr w:type="gramStart"/>
      <w:r w:rsidRPr="000A5257">
        <w:rPr>
          <w:rFonts w:eastAsia="標楷體"/>
          <w:sz w:val="22"/>
        </w:rPr>
        <w:t>正式取錄</w:t>
      </w:r>
      <w:proofErr w:type="gramEnd"/>
      <w:r w:rsidRPr="000A5257">
        <w:rPr>
          <w:rFonts w:eastAsia="標楷體"/>
          <w:sz w:val="22"/>
        </w:rPr>
        <w:t>」，申請人須於</w:t>
      </w:r>
      <w:r w:rsidRPr="000A5257">
        <w:rPr>
          <w:rFonts w:eastAsia="標楷體"/>
          <w:sz w:val="22"/>
        </w:rPr>
        <w:t>7</w:t>
      </w:r>
      <w:r w:rsidRPr="000A5257">
        <w:rPr>
          <w:rFonts w:eastAsia="標楷體"/>
          <w:sz w:val="22"/>
        </w:rPr>
        <w:t>月</w:t>
      </w:r>
      <w:r w:rsidRPr="000A5257">
        <w:rPr>
          <w:rFonts w:eastAsia="標楷體" w:hint="eastAsia"/>
          <w:sz w:val="22"/>
        </w:rPr>
        <w:t>1</w:t>
      </w:r>
      <w:r w:rsidR="00D7701F">
        <w:rPr>
          <w:rFonts w:eastAsia="標楷體"/>
          <w:sz w:val="22"/>
        </w:rPr>
        <w:t>6</w:t>
      </w:r>
      <w:r w:rsidRPr="000A5257">
        <w:rPr>
          <w:rFonts w:eastAsia="標楷體"/>
          <w:sz w:val="22"/>
        </w:rPr>
        <w:t>日上午</w:t>
      </w:r>
      <w:r w:rsidRPr="000A5257">
        <w:rPr>
          <w:rFonts w:eastAsia="標楷體"/>
          <w:sz w:val="22"/>
        </w:rPr>
        <w:t>9</w:t>
      </w:r>
      <w:r w:rsidRPr="000A5257">
        <w:rPr>
          <w:rFonts w:eastAsia="標楷體"/>
          <w:sz w:val="22"/>
        </w:rPr>
        <w:t>時至下午</w:t>
      </w:r>
      <w:r w:rsidRPr="000A5257">
        <w:rPr>
          <w:rFonts w:eastAsia="標楷體"/>
          <w:sz w:val="22"/>
        </w:rPr>
        <w:t>4</w:t>
      </w:r>
      <w:r w:rsidRPr="000A5257">
        <w:rPr>
          <w:rFonts w:eastAsia="標楷體"/>
          <w:sz w:val="22"/>
        </w:rPr>
        <w:t>時，登入「</w:t>
      </w:r>
      <w:r w:rsidRPr="000A5257">
        <w:rPr>
          <w:rFonts w:eastAsia="標楷體"/>
          <w:sz w:val="22"/>
        </w:rPr>
        <w:t xml:space="preserve">VTC </w:t>
      </w:r>
      <w:r w:rsidRPr="000A5257">
        <w:rPr>
          <w:rFonts w:eastAsia="標楷體"/>
          <w:sz w:val="22"/>
        </w:rPr>
        <w:t>中六入學申請平台」確認接受學位。</w:t>
      </w:r>
    </w:p>
    <w:p w14:paraId="1B6AE573" w14:textId="5E8AEC38" w:rsidR="000A5257" w:rsidRPr="000A5257" w:rsidRDefault="000A5257" w:rsidP="000A5257">
      <w:pPr>
        <w:adjustRightInd w:val="0"/>
        <w:snapToGrid w:val="0"/>
        <w:ind w:left="220" w:hangingChars="100" w:hanging="220"/>
        <w:jc w:val="both"/>
        <w:rPr>
          <w:rFonts w:eastAsia="標楷體"/>
          <w:sz w:val="22"/>
          <w:szCs w:val="22"/>
          <w:shd w:val="clear" w:color="auto" w:fill="FFFFFF"/>
        </w:rPr>
      </w:pPr>
      <w:r w:rsidRPr="000A5257">
        <w:rPr>
          <w:rFonts w:eastAsia="標楷體"/>
          <w:sz w:val="22"/>
        </w:rPr>
        <w:t xml:space="preserve">- </w:t>
      </w:r>
      <w:r w:rsidRPr="000A5257">
        <w:rPr>
          <w:rFonts w:eastAsia="標楷體"/>
          <w:sz w:val="22"/>
          <w:szCs w:val="22"/>
          <w:shd w:val="clear" w:color="auto" w:fill="FFFFFF"/>
        </w:rPr>
        <w:t>如申請人於</w:t>
      </w:r>
      <w:r w:rsidRPr="000A5257">
        <w:rPr>
          <w:rFonts w:eastAsia="標楷體"/>
          <w:sz w:val="22"/>
          <w:szCs w:val="22"/>
          <w:shd w:val="clear" w:color="auto" w:fill="FFFFFF"/>
        </w:rPr>
        <w:t xml:space="preserve"> 7 </w:t>
      </w:r>
      <w:r w:rsidRPr="000A5257">
        <w:rPr>
          <w:rFonts w:eastAsia="標楷體"/>
          <w:sz w:val="22"/>
          <w:szCs w:val="22"/>
          <w:shd w:val="clear" w:color="auto" w:fill="FFFFFF"/>
        </w:rPr>
        <w:t>月</w:t>
      </w:r>
      <w:r w:rsidRPr="000A5257">
        <w:rPr>
          <w:rFonts w:eastAsia="標楷體"/>
          <w:sz w:val="22"/>
          <w:szCs w:val="22"/>
          <w:shd w:val="clear" w:color="auto" w:fill="FFFFFF"/>
        </w:rPr>
        <w:t xml:space="preserve"> </w:t>
      </w:r>
      <w:r w:rsidRPr="000A5257">
        <w:rPr>
          <w:rFonts w:eastAsia="標楷體" w:hint="eastAsia"/>
          <w:sz w:val="22"/>
          <w:szCs w:val="22"/>
          <w:shd w:val="clear" w:color="auto" w:fill="FFFFFF"/>
        </w:rPr>
        <w:t>1</w:t>
      </w:r>
      <w:r w:rsidR="00D7701F">
        <w:rPr>
          <w:rFonts w:eastAsia="標楷體"/>
          <w:sz w:val="22"/>
          <w:szCs w:val="22"/>
          <w:shd w:val="clear" w:color="auto" w:fill="FFFFFF"/>
        </w:rPr>
        <w:t>6</w:t>
      </w:r>
      <w:r w:rsidRPr="000A5257">
        <w:rPr>
          <w:rFonts w:eastAsia="標楷體"/>
          <w:sz w:val="22"/>
          <w:szCs w:val="22"/>
          <w:shd w:val="clear" w:color="auto" w:fill="FFFFFF"/>
        </w:rPr>
        <w:t>日</w:t>
      </w:r>
      <w:r w:rsidRPr="000A5257">
        <w:rPr>
          <w:rFonts w:eastAsia="標楷體"/>
          <w:sz w:val="22"/>
          <w:szCs w:val="22"/>
          <w:shd w:val="clear" w:color="auto" w:fill="FFFFFF"/>
        </w:rPr>
        <w:t xml:space="preserve"> (</w:t>
      </w:r>
      <w:r w:rsidRPr="000A5257">
        <w:rPr>
          <w:rFonts w:eastAsia="標楷體"/>
          <w:sz w:val="22"/>
          <w:szCs w:val="22"/>
          <w:shd w:val="clear" w:color="auto" w:fill="FFFFFF"/>
        </w:rPr>
        <w:t>上午</w:t>
      </w:r>
      <w:r w:rsidRPr="000A5257">
        <w:rPr>
          <w:rFonts w:eastAsia="標楷體"/>
          <w:sz w:val="22"/>
          <w:szCs w:val="22"/>
          <w:shd w:val="clear" w:color="auto" w:fill="FFFFFF"/>
        </w:rPr>
        <w:t xml:space="preserve"> 9 </w:t>
      </w:r>
      <w:r w:rsidRPr="000A5257">
        <w:rPr>
          <w:rFonts w:eastAsia="標楷體"/>
          <w:sz w:val="22"/>
          <w:szCs w:val="22"/>
          <w:shd w:val="clear" w:color="auto" w:fill="FFFFFF"/>
        </w:rPr>
        <w:t>時</w:t>
      </w:r>
      <w:r w:rsidRPr="000A5257">
        <w:rPr>
          <w:rFonts w:eastAsia="標楷體"/>
          <w:sz w:val="22"/>
          <w:szCs w:val="22"/>
          <w:shd w:val="clear" w:color="auto" w:fill="FFFFFF"/>
        </w:rPr>
        <w:t xml:space="preserve">) </w:t>
      </w:r>
      <w:r w:rsidRPr="000A5257">
        <w:rPr>
          <w:rFonts w:eastAsia="標楷體"/>
          <w:sz w:val="22"/>
          <w:szCs w:val="22"/>
          <w:shd w:val="clear" w:color="auto" w:fill="FFFFFF"/>
        </w:rPr>
        <w:t>未獲取錄，可登入</w:t>
      </w:r>
      <w:r w:rsidRPr="000A5257">
        <w:rPr>
          <w:rFonts w:eastAsia="標楷體" w:hint="eastAsia"/>
          <w:sz w:val="22"/>
          <w:szCs w:val="22"/>
          <w:shd w:val="clear" w:color="auto" w:fill="FFFFFF"/>
        </w:rPr>
        <w:t>「</w:t>
      </w:r>
      <w:r w:rsidRPr="000A5257">
        <w:rPr>
          <w:rFonts w:eastAsia="標楷體"/>
          <w:sz w:val="22"/>
          <w:szCs w:val="22"/>
          <w:shd w:val="clear" w:color="auto" w:fill="FFFFFF"/>
        </w:rPr>
        <w:t xml:space="preserve">VTC </w:t>
      </w:r>
      <w:r w:rsidRPr="000A5257">
        <w:rPr>
          <w:rFonts w:eastAsia="標楷體"/>
          <w:sz w:val="22"/>
          <w:szCs w:val="22"/>
          <w:shd w:val="clear" w:color="auto" w:fill="FFFFFF"/>
        </w:rPr>
        <w:t>中六入學申請平台</w:t>
      </w:r>
      <w:r w:rsidRPr="000A5257">
        <w:rPr>
          <w:rFonts w:eastAsia="標楷體" w:hint="eastAsia"/>
          <w:sz w:val="22"/>
          <w:szCs w:val="22"/>
          <w:shd w:val="clear" w:color="auto" w:fill="FFFFFF"/>
        </w:rPr>
        <w:t>」</w:t>
      </w:r>
      <w:r w:rsidRPr="000A5257">
        <w:rPr>
          <w:rFonts w:eastAsia="標楷體"/>
          <w:sz w:val="22"/>
          <w:szCs w:val="22"/>
          <w:shd w:val="clear" w:color="auto" w:fill="FFFFFF"/>
        </w:rPr>
        <w:t>參加「統一收生計劃」申請入讀學士學位</w:t>
      </w:r>
      <w:r w:rsidRPr="000A5257">
        <w:rPr>
          <w:rFonts w:eastAsia="標楷體" w:hint="eastAsia"/>
          <w:sz w:val="22"/>
          <w:szCs w:val="22"/>
          <w:shd w:val="clear" w:color="auto" w:fill="FFFFFF"/>
        </w:rPr>
        <w:t>課程</w:t>
      </w:r>
      <w:r w:rsidRPr="000A5257">
        <w:rPr>
          <w:rFonts w:eastAsia="標楷體"/>
          <w:sz w:val="22"/>
          <w:szCs w:val="22"/>
          <w:shd w:val="clear" w:color="auto" w:fill="FFFFFF"/>
        </w:rPr>
        <w:t>、高級文憑</w:t>
      </w:r>
      <w:r w:rsidRPr="000A5257">
        <w:rPr>
          <w:rFonts w:eastAsia="標楷體" w:hint="eastAsia"/>
          <w:sz w:val="22"/>
          <w:szCs w:val="22"/>
          <w:shd w:val="clear" w:color="auto" w:fill="FFFFFF"/>
        </w:rPr>
        <w:t>課程</w:t>
      </w:r>
      <w:r w:rsidRPr="000A5257">
        <w:rPr>
          <w:rFonts w:eastAsia="標楷體"/>
          <w:sz w:val="22"/>
          <w:szCs w:val="22"/>
          <w:shd w:val="clear" w:color="auto" w:fill="FFFFFF"/>
        </w:rPr>
        <w:t>、基礎課程</w:t>
      </w:r>
      <w:r w:rsidRPr="000A5257">
        <w:rPr>
          <w:rFonts w:eastAsia="標楷體" w:hint="eastAsia"/>
          <w:sz w:val="22"/>
          <w:szCs w:val="22"/>
          <w:shd w:val="clear" w:color="auto" w:fill="FFFFFF"/>
        </w:rPr>
        <w:t>文憑</w:t>
      </w:r>
      <w:r w:rsidRPr="000A5257">
        <w:rPr>
          <w:rFonts w:eastAsia="標楷體"/>
          <w:sz w:val="22"/>
          <w:szCs w:val="22"/>
          <w:shd w:val="clear" w:color="auto" w:fill="FFFFFF"/>
        </w:rPr>
        <w:t>、</w:t>
      </w:r>
      <w:proofErr w:type="gramStart"/>
      <w:r w:rsidRPr="000A5257">
        <w:rPr>
          <w:rFonts w:eastAsia="標楷體"/>
          <w:sz w:val="22"/>
          <w:szCs w:val="22"/>
          <w:shd w:val="clear" w:color="auto" w:fill="FFFFFF"/>
        </w:rPr>
        <w:t>職專文憑</w:t>
      </w:r>
      <w:proofErr w:type="gramEnd"/>
      <w:r w:rsidRPr="000A5257">
        <w:rPr>
          <w:rFonts w:eastAsia="標楷體" w:hint="eastAsia"/>
          <w:sz w:val="22"/>
          <w:szCs w:val="22"/>
          <w:shd w:val="clear" w:color="auto" w:fill="FFFFFF"/>
        </w:rPr>
        <w:t>/</w:t>
      </w:r>
      <w:r w:rsidRPr="000A5257">
        <w:rPr>
          <w:rFonts w:eastAsia="標楷體"/>
          <w:sz w:val="22"/>
          <w:szCs w:val="22"/>
          <w:shd w:val="clear" w:color="auto" w:fill="FFFFFF"/>
        </w:rPr>
        <w:t>文憑課程。成功獲取錄的申請人會於遞交申請當日接獲通知。</w:t>
      </w:r>
    </w:p>
    <w:p w14:paraId="6EF12605" w14:textId="72F31A68" w:rsidR="000A5257" w:rsidRPr="000A5257" w:rsidRDefault="000A5257" w:rsidP="000A5257">
      <w:pPr>
        <w:adjustRightInd w:val="0"/>
        <w:snapToGrid w:val="0"/>
        <w:ind w:left="425" w:hangingChars="193" w:hanging="425"/>
        <w:jc w:val="both"/>
        <w:rPr>
          <w:rFonts w:eastAsia="標楷體"/>
          <w:sz w:val="22"/>
          <w:szCs w:val="22"/>
        </w:rPr>
      </w:pPr>
      <w:r w:rsidRPr="000A5257">
        <w:rPr>
          <w:rFonts w:eastAsia="標楷體"/>
          <w:sz w:val="22"/>
          <w:szCs w:val="22"/>
        </w:rPr>
        <w:t xml:space="preserve">- </w:t>
      </w:r>
      <w:r w:rsidRPr="000A5257">
        <w:rPr>
          <w:rFonts w:eastAsia="標楷體"/>
          <w:sz w:val="22"/>
          <w:szCs w:val="22"/>
        </w:rPr>
        <w:t>所有獲派學位的學生，須在</w:t>
      </w:r>
      <w:r w:rsidRPr="000A5257">
        <w:rPr>
          <w:rFonts w:eastAsia="標楷體"/>
          <w:sz w:val="22"/>
          <w:szCs w:val="22"/>
        </w:rPr>
        <w:t>7</w:t>
      </w:r>
      <w:r w:rsidRPr="000A5257">
        <w:rPr>
          <w:rFonts w:eastAsia="標楷體"/>
          <w:sz w:val="22"/>
          <w:szCs w:val="22"/>
        </w:rPr>
        <w:t>月</w:t>
      </w:r>
      <w:r w:rsidRPr="000A5257">
        <w:rPr>
          <w:rFonts w:eastAsia="標楷體" w:hint="eastAsia"/>
          <w:sz w:val="22"/>
          <w:szCs w:val="22"/>
        </w:rPr>
        <w:t>2</w:t>
      </w:r>
      <w:r w:rsidR="00D7701F">
        <w:rPr>
          <w:rFonts w:eastAsia="標楷體"/>
          <w:sz w:val="22"/>
          <w:szCs w:val="22"/>
        </w:rPr>
        <w:t>1</w:t>
      </w:r>
      <w:r w:rsidRPr="000A5257">
        <w:rPr>
          <w:rFonts w:eastAsia="標楷體"/>
          <w:sz w:val="22"/>
          <w:szCs w:val="22"/>
        </w:rPr>
        <w:t>日中午</w:t>
      </w:r>
      <w:r w:rsidRPr="000A5257">
        <w:rPr>
          <w:rFonts w:eastAsia="標楷體"/>
          <w:sz w:val="22"/>
          <w:szCs w:val="22"/>
        </w:rPr>
        <w:t>12</w:t>
      </w:r>
      <w:r w:rsidRPr="000A5257">
        <w:rPr>
          <w:rFonts w:eastAsia="標楷體"/>
          <w:sz w:val="22"/>
          <w:szCs w:val="22"/>
        </w:rPr>
        <w:t>時前辦妥註冊手續。</w:t>
      </w:r>
    </w:p>
    <w:p w14:paraId="344C8554" w14:textId="77777777" w:rsidR="000A5257" w:rsidRPr="000A5257" w:rsidRDefault="000A5257" w:rsidP="000A5257">
      <w:pPr>
        <w:jc w:val="both"/>
        <w:rPr>
          <w:rFonts w:eastAsia="標楷體"/>
          <w:sz w:val="22"/>
          <w:szCs w:val="22"/>
        </w:rPr>
      </w:pPr>
    </w:p>
    <w:p w14:paraId="76A3B690" w14:textId="77777777" w:rsidR="000A5257" w:rsidRPr="000A5257" w:rsidRDefault="000A5257" w:rsidP="000A5257">
      <w:pPr>
        <w:jc w:val="both"/>
        <w:rPr>
          <w:rFonts w:eastAsia="標楷體"/>
          <w:sz w:val="22"/>
          <w:szCs w:val="22"/>
        </w:rPr>
      </w:pPr>
    </w:p>
    <w:p w14:paraId="019FA45C" w14:textId="77777777" w:rsidR="000A5257" w:rsidRPr="000A5257" w:rsidRDefault="000A5257" w:rsidP="000A5257">
      <w:pPr>
        <w:jc w:val="both"/>
      </w:pPr>
      <w:r w:rsidRPr="000A5257">
        <w:rPr>
          <w:rFonts w:eastAsia="標楷體" w:hint="eastAsia"/>
          <w:b/>
          <w:bCs/>
          <w:sz w:val="22"/>
          <w:szCs w:val="22"/>
        </w:rPr>
        <w:t>應用教育文憑</w:t>
      </w:r>
      <w:r w:rsidRPr="000A5257">
        <w:rPr>
          <w:rFonts w:eastAsia="標楷體"/>
          <w:b/>
          <w:bCs/>
          <w:sz w:val="22"/>
          <w:szCs w:val="22"/>
        </w:rPr>
        <w:t xml:space="preserve"> </w:t>
      </w:r>
      <w:hyperlink r:id="rId8" w:history="1">
        <w:r w:rsidRPr="000A5257">
          <w:rPr>
            <w:rStyle w:val="a3"/>
            <w:color w:val="auto"/>
          </w:rPr>
          <w:t>http://www.dae.edu.hk/</w:t>
        </w:r>
      </w:hyperlink>
    </w:p>
    <w:p w14:paraId="6470FC37" w14:textId="6D6D7D1A" w:rsidR="000A5257" w:rsidRPr="000A5257" w:rsidRDefault="000A5257" w:rsidP="000A5257">
      <w:pPr>
        <w:jc w:val="both"/>
        <w:rPr>
          <w:rFonts w:eastAsia="標楷體"/>
          <w:sz w:val="22"/>
          <w:szCs w:val="22"/>
        </w:rPr>
      </w:pPr>
      <w:r w:rsidRPr="000A5257">
        <w:rPr>
          <w:rFonts w:eastAsia="標楷體"/>
          <w:sz w:val="22"/>
          <w:szCs w:val="22"/>
        </w:rPr>
        <w:t>報名請於申請截止日期前</w:t>
      </w:r>
      <w:r w:rsidRPr="000A5257">
        <w:rPr>
          <w:rFonts w:eastAsia="標楷體"/>
          <w:sz w:val="22"/>
          <w:szCs w:val="22"/>
        </w:rPr>
        <w:t>(7</w:t>
      </w:r>
      <w:r w:rsidRPr="000A5257">
        <w:rPr>
          <w:rFonts w:eastAsia="標楷體"/>
          <w:sz w:val="22"/>
          <w:szCs w:val="22"/>
        </w:rPr>
        <w:t>月</w:t>
      </w:r>
      <w:r w:rsidRPr="000A5257">
        <w:rPr>
          <w:rFonts w:eastAsia="標楷體"/>
          <w:sz w:val="22"/>
          <w:szCs w:val="22"/>
        </w:rPr>
        <w:t>1</w:t>
      </w:r>
      <w:r w:rsidR="003D6430">
        <w:rPr>
          <w:rFonts w:eastAsia="標楷體"/>
          <w:sz w:val="22"/>
          <w:szCs w:val="22"/>
        </w:rPr>
        <w:t>4</w:t>
      </w:r>
      <w:r w:rsidRPr="000A5257">
        <w:rPr>
          <w:rFonts w:eastAsia="標楷體"/>
          <w:sz w:val="22"/>
          <w:szCs w:val="22"/>
        </w:rPr>
        <w:t>日下午</w:t>
      </w:r>
      <w:r w:rsidRPr="000A5257">
        <w:rPr>
          <w:rFonts w:eastAsia="標楷體"/>
          <w:sz w:val="22"/>
          <w:szCs w:val="22"/>
        </w:rPr>
        <w:t>4</w:t>
      </w:r>
      <w:r w:rsidRPr="000A5257">
        <w:rPr>
          <w:rFonts w:eastAsia="標楷體"/>
          <w:sz w:val="22"/>
          <w:szCs w:val="22"/>
        </w:rPr>
        <w:t>時正</w:t>
      </w:r>
      <w:r w:rsidRPr="000A5257">
        <w:rPr>
          <w:rFonts w:eastAsia="標楷體"/>
          <w:sz w:val="22"/>
          <w:szCs w:val="22"/>
        </w:rPr>
        <w:t>)</w:t>
      </w:r>
      <w:r w:rsidRPr="000A5257">
        <w:rPr>
          <w:rFonts w:eastAsia="標楷體"/>
          <w:sz w:val="22"/>
          <w:szCs w:val="22"/>
        </w:rPr>
        <w:t>透過應用教育文憑網上申請系統完成申請程序及繳付報名費方獲處理。</w:t>
      </w:r>
      <w:proofErr w:type="gramStart"/>
      <w:r w:rsidRPr="000A5257">
        <w:rPr>
          <w:rFonts w:eastAsia="標楷體"/>
          <w:sz w:val="22"/>
          <w:szCs w:val="22"/>
        </w:rPr>
        <w:t>有關學額會</w:t>
      </w:r>
      <w:proofErr w:type="gramEnd"/>
      <w:r w:rsidRPr="000A5257">
        <w:rPr>
          <w:rFonts w:eastAsia="標楷體"/>
          <w:sz w:val="22"/>
          <w:szCs w:val="22"/>
        </w:rPr>
        <w:t>將以電腦派位方式分配，</w:t>
      </w:r>
      <w:r w:rsidRPr="000A5257">
        <w:rPr>
          <w:rFonts w:eastAsia="標楷體" w:hint="eastAsia"/>
          <w:sz w:val="22"/>
          <w:szCs w:val="22"/>
        </w:rPr>
        <w:t>第一階段學位</w:t>
      </w:r>
      <w:r w:rsidRPr="000A5257">
        <w:rPr>
          <w:rFonts w:eastAsia="標楷體"/>
          <w:sz w:val="22"/>
          <w:szCs w:val="22"/>
        </w:rPr>
        <w:t>分配結果將於</w:t>
      </w:r>
      <w:r w:rsidRPr="000A5257">
        <w:rPr>
          <w:rFonts w:eastAsia="標楷體"/>
          <w:sz w:val="22"/>
          <w:szCs w:val="22"/>
        </w:rPr>
        <w:t>7</w:t>
      </w:r>
      <w:r w:rsidRPr="000A5257">
        <w:rPr>
          <w:rFonts w:eastAsia="標楷體"/>
          <w:sz w:val="22"/>
          <w:szCs w:val="22"/>
        </w:rPr>
        <w:t>月</w:t>
      </w:r>
      <w:r w:rsidRPr="000A5257">
        <w:rPr>
          <w:rFonts w:eastAsia="標楷體"/>
          <w:sz w:val="22"/>
          <w:szCs w:val="22"/>
        </w:rPr>
        <w:t>1</w:t>
      </w:r>
      <w:r w:rsidR="003D6430">
        <w:rPr>
          <w:rFonts w:eastAsia="標楷體"/>
          <w:sz w:val="22"/>
          <w:szCs w:val="22"/>
        </w:rPr>
        <w:t>5</w:t>
      </w:r>
      <w:r w:rsidRPr="000A5257">
        <w:rPr>
          <w:rFonts w:eastAsia="標楷體"/>
          <w:sz w:val="22"/>
          <w:szCs w:val="22"/>
        </w:rPr>
        <w:t>日起</w:t>
      </w:r>
      <w:r w:rsidRPr="000A5257">
        <w:rPr>
          <w:rFonts w:eastAsia="標楷體" w:hint="eastAsia"/>
          <w:sz w:val="22"/>
          <w:szCs w:val="22"/>
        </w:rPr>
        <w:t>以</w:t>
      </w:r>
      <w:proofErr w:type="gramStart"/>
      <w:r w:rsidRPr="000A5257">
        <w:rPr>
          <w:rFonts w:eastAsia="標楷體"/>
          <w:sz w:val="22"/>
          <w:szCs w:val="22"/>
        </w:rPr>
        <w:t>電郵</w:t>
      </w:r>
      <w:r w:rsidRPr="000A5257">
        <w:rPr>
          <w:rFonts w:eastAsia="標楷體"/>
          <w:sz w:val="22"/>
          <w:szCs w:val="22"/>
          <w:lang w:eastAsia="zh-HK"/>
        </w:rPr>
        <w:t>或</w:t>
      </w:r>
      <w:proofErr w:type="gramEnd"/>
      <w:r w:rsidRPr="000A5257">
        <w:rPr>
          <w:rFonts w:eastAsia="標楷體"/>
          <w:sz w:val="22"/>
          <w:szCs w:val="22"/>
          <w:lang w:eastAsia="zh-HK"/>
        </w:rPr>
        <w:t>短訊</w:t>
      </w:r>
      <w:r w:rsidRPr="000A5257">
        <w:rPr>
          <w:rFonts w:eastAsia="標楷體"/>
          <w:sz w:val="22"/>
          <w:szCs w:val="22"/>
        </w:rPr>
        <w:t>通知申請人。</w:t>
      </w:r>
    </w:p>
    <w:p w14:paraId="01D8D716" w14:textId="5B6F45D5" w:rsidR="002C3D01" w:rsidRDefault="002C3D01" w:rsidP="000A5257">
      <w:pPr>
        <w:jc w:val="both"/>
        <w:rPr>
          <w:rFonts w:eastAsia="標楷體"/>
          <w:sz w:val="22"/>
          <w:szCs w:val="22"/>
        </w:rPr>
      </w:pPr>
    </w:p>
    <w:p w14:paraId="56D6EDE5" w14:textId="0E714B27" w:rsidR="001C43C6" w:rsidRDefault="001C43C6" w:rsidP="000A5257">
      <w:pPr>
        <w:jc w:val="both"/>
        <w:rPr>
          <w:rFonts w:eastAsia="標楷體"/>
          <w:sz w:val="22"/>
          <w:szCs w:val="22"/>
        </w:rPr>
      </w:pPr>
    </w:p>
    <w:p w14:paraId="2B5CCC4B" w14:textId="77777777" w:rsidR="001C43C6" w:rsidRPr="001C43C6" w:rsidRDefault="001C43C6" w:rsidP="000A5257">
      <w:pPr>
        <w:jc w:val="both"/>
        <w:rPr>
          <w:rFonts w:eastAsia="標楷體" w:hint="eastAsia"/>
          <w:sz w:val="22"/>
          <w:szCs w:val="22"/>
        </w:rPr>
      </w:pPr>
      <w:bookmarkStart w:id="0" w:name="_GoBack"/>
      <w:bookmarkEnd w:id="0"/>
    </w:p>
    <w:sectPr w:rsidR="001C43C6" w:rsidRPr="001C43C6">
      <w:pgSz w:w="11900" w:h="16840"/>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9056E" w14:textId="77777777" w:rsidR="00F66E56" w:rsidRDefault="00F66E56" w:rsidP="005E40AA">
      <w:r>
        <w:separator/>
      </w:r>
    </w:p>
  </w:endnote>
  <w:endnote w:type="continuationSeparator" w:id="0">
    <w:p w14:paraId="1299C43A" w14:textId="77777777" w:rsidR="00F66E56" w:rsidRDefault="00F66E56" w:rsidP="005E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BEF00" w14:textId="77777777" w:rsidR="00F66E56" w:rsidRDefault="00F66E56" w:rsidP="005E40AA">
      <w:r>
        <w:separator/>
      </w:r>
    </w:p>
  </w:footnote>
  <w:footnote w:type="continuationSeparator" w:id="0">
    <w:p w14:paraId="3461D779" w14:textId="77777777" w:rsidR="00F66E56" w:rsidRDefault="00F66E56" w:rsidP="005E4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4F44D7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065727"/>
    <w:multiLevelType w:val="hybridMultilevel"/>
    <w:tmpl w:val="5958DA7A"/>
    <w:lvl w:ilvl="0" w:tplc="F1C84494">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C1E6E26"/>
    <w:multiLevelType w:val="hybridMultilevel"/>
    <w:tmpl w:val="C8585F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80661C"/>
    <w:multiLevelType w:val="hybridMultilevel"/>
    <w:tmpl w:val="76DAFE38"/>
    <w:lvl w:ilvl="0" w:tplc="AB5C79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9856FF"/>
    <w:multiLevelType w:val="multilevel"/>
    <w:tmpl w:val="7DF6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030CF"/>
    <w:multiLevelType w:val="multilevel"/>
    <w:tmpl w:val="6AF6F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1A54F8"/>
    <w:multiLevelType w:val="hybridMultilevel"/>
    <w:tmpl w:val="F1FE3FB0"/>
    <w:lvl w:ilvl="0" w:tplc="C9041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D35"/>
    <w:rsid w:val="00006606"/>
    <w:rsid w:val="00040F0D"/>
    <w:rsid w:val="0005191D"/>
    <w:rsid w:val="000852E0"/>
    <w:rsid w:val="000A5257"/>
    <w:rsid w:val="000C008E"/>
    <w:rsid w:val="000C5C67"/>
    <w:rsid w:val="000D490A"/>
    <w:rsid w:val="000E4889"/>
    <w:rsid w:val="00116D6B"/>
    <w:rsid w:val="00173372"/>
    <w:rsid w:val="00181840"/>
    <w:rsid w:val="0018275A"/>
    <w:rsid w:val="00184BDD"/>
    <w:rsid w:val="00186107"/>
    <w:rsid w:val="001877F3"/>
    <w:rsid w:val="001C1DE7"/>
    <w:rsid w:val="001C43C6"/>
    <w:rsid w:val="001D60ED"/>
    <w:rsid w:val="00242EF1"/>
    <w:rsid w:val="00244A7E"/>
    <w:rsid w:val="00255FA6"/>
    <w:rsid w:val="00266904"/>
    <w:rsid w:val="00275E9B"/>
    <w:rsid w:val="002804F3"/>
    <w:rsid w:val="00284850"/>
    <w:rsid w:val="002A23C7"/>
    <w:rsid w:val="002C3D01"/>
    <w:rsid w:val="002C6329"/>
    <w:rsid w:val="002D545B"/>
    <w:rsid w:val="002D6C42"/>
    <w:rsid w:val="003152BC"/>
    <w:rsid w:val="00322B90"/>
    <w:rsid w:val="0033603F"/>
    <w:rsid w:val="00336EB2"/>
    <w:rsid w:val="003574D0"/>
    <w:rsid w:val="00371420"/>
    <w:rsid w:val="003A5F96"/>
    <w:rsid w:val="003D6430"/>
    <w:rsid w:val="003F6637"/>
    <w:rsid w:val="00404753"/>
    <w:rsid w:val="004256B9"/>
    <w:rsid w:val="00453D7D"/>
    <w:rsid w:val="004A57D2"/>
    <w:rsid w:val="004B7B6A"/>
    <w:rsid w:val="004E6931"/>
    <w:rsid w:val="005306DC"/>
    <w:rsid w:val="005B5191"/>
    <w:rsid w:val="005C7B37"/>
    <w:rsid w:val="005D029B"/>
    <w:rsid w:val="005E40AA"/>
    <w:rsid w:val="006337DE"/>
    <w:rsid w:val="006412D8"/>
    <w:rsid w:val="00645629"/>
    <w:rsid w:val="00661F59"/>
    <w:rsid w:val="00665AAC"/>
    <w:rsid w:val="00675C0A"/>
    <w:rsid w:val="006837B3"/>
    <w:rsid w:val="006B311C"/>
    <w:rsid w:val="006C338C"/>
    <w:rsid w:val="006D72B6"/>
    <w:rsid w:val="006E2699"/>
    <w:rsid w:val="007078E7"/>
    <w:rsid w:val="00714E45"/>
    <w:rsid w:val="00767D24"/>
    <w:rsid w:val="007A3B51"/>
    <w:rsid w:val="007F0876"/>
    <w:rsid w:val="00801D43"/>
    <w:rsid w:val="00841832"/>
    <w:rsid w:val="0087283A"/>
    <w:rsid w:val="00884921"/>
    <w:rsid w:val="008953A3"/>
    <w:rsid w:val="008D0083"/>
    <w:rsid w:val="008D0234"/>
    <w:rsid w:val="008D49F6"/>
    <w:rsid w:val="00923B90"/>
    <w:rsid w:val="00927EA5"/>
    <w:rsid w:val="00944019"/>
    <w:rsid w:val="0095194C"/>
    <w:rsid w:val="009701EB"/>
    <w:rsid w:val="009A14BB"/>
    <w:rsid w:val="009A25C0"/>
    <w:rsid w:val="009A3303"/>
    <w:rsid w:val="009B61B5"/>
    <w:rsid w:val="009F6444"/>
    <w:rsid w:val="00A60828"/>
    <w:rsid w:val="00A6255A"/>
    <w:rsid w:val="00A90B42"/>
    <w:rsid w:val="00AA0891"/>
    <w:rsid w:val="00AA351E"/>
    <w:rsid w:val="00AD77F9"/>
    <w:rsid w:val="00AE6B5C"/>
    <w:rsid w:val="00AF32A9"/>
    <w:rsid w:val="00B02A47"/>
    <w:rsid w:val="00B13120"/>
    <w:rsid w:val="00B14FF3"/>
    <w:rsid w:val="00B272A5"/>
    <w:rsid w:val="00B414A2"/>
    <w:rsid w:val="00B7721E"/>
    <w:rsid w:val="00B868D0"/>
    <w:rsid w:val="00BB3C30"/>
    <w:rsid w:val="00BC3056"/>
    <w:rsid w:val="00BD3D35"/>
    <w:rsid w:val="00BF604C"/>
    <w:rsid w:val="00BF7FE8"/>
    <w:rsid w:val="00C00B52"/>
    <w:rsid w:val="00C46B2B"/>
    <w:rsid w:val="00C66A6F"/>
    <w:rsid w:val="00C76298"/>
    <w:rsid w:val="00CB0A83"/>
    <w:rsid w:val="00CC36AB"/>
    <w:rsid w:val="00CD3E2F"/>
    <w:rsid w:val="00CE31F8"/>
    <w:rsid w:val="00CF3FDC"/>
    <w:rsid w:val="00D2743A"/>
    <w:rsid w:val="00D30814"/>
    <w:rsid w:val="00D32DAF"/>
    <w:rsid w:val="00D469EF"/>
    <w:rsid w:val="00D64CD6"/>
    <w:rsid w:val="00D67FFB"/>
    <w:rsid w:val="00D7701F"/>
    <w:rsid w:val="00D77029"/>
    <w:rsid w:val="00D807F1"/>
    <w:rsid w:val="00D87435"/>
    <w:rsid w:val="00D92D9E"/>
    <w:rsid w:val="00DA458F"/>
    <w:rsid w:val="00DC173B"/>
    <w:rsid w:val="00DC6651"/>
    <w:rsid w:val="00DD1A57"/>
    <w:rsid w:val="00E26FFE"/>
    <w:rsid w:val="00E306B7"/>
    <w:rsid w:val="00E33144"/>
    <w:rsid w:val="00E43E88"/>
    <w:rsid w:val="00E46D23"/>
    <w:rsid w:val="00E51C81"/>
    <w:rsid w:val="00E7043E"/>
    <w:rsid w:val="00E962E3"/>
    <w:rsid w:val="00EC0038"/>
    <w:rsid w:val="00EC30DF"/>
    <w:rsid w:val="00EE6010"/>
    <w:rsid w:val="00EF05FB"/>
    <w:rsid w:val="00EF5E24"/>
    <w:rsid w:val="00F01DBB"/>
    <w:rsid w:val="00F06C0D"/>
    <w:rsid w:val="00F614F7"/>
    <w:rsid w:val="00F66E56"/>
    <w:rsid w:val="00F8705D"/>
    <w:rsid w:val="00FA14BD"/>
    <w:rsid w:val="282BF254"/>
    <w:rsid w:val="7143DF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E009940"/>
  <w15:chartTrackingRefBased/>
  <w15:docId w15:val="{7666FC7B-D206-4B71-972C-3B197F70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新細明體" w:hAnsi="Cambria"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1D43"/>
    <w:rPr>
      <w:rFonts w:ascii="Times New Roman" w:hAnsi="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預設格式 字元"/>
    <w:link w:val="HTML0"/>
    <w:uiPriority w:val="99"/>
    <w:rsid w:val="001D60ED"/>
    <w:rPr>
      <w:rFonts w:ascii="Arial Unicode MS" w:eastAsia="Arial Unicode MS" w:hAnsi="Arial Unicode MS" w:cs="Arial Unicode MS"/>
    </w:rPr>
  </w:style>
  <w:style w:type="paragraph" w:styleId="Web">
    <w:name w:val="Normal (Web)"/>
    <w:basedOn w:val="a"/>
    <w:semiHidden/>
    <w:pPr>
      <w:spacing w:beforeLines="1" w:afterLines="1"/>
    </w:pPr>
    <w:rPr>
      <w:rFonts w:ascii="Times" w:eastAsia="Cambria" w:hAnsi="Times"/>
      <w:sz w:val="20"/>
      <w:szCs w:val="20"/>
    </w:rPr>
  </w:style>
  <w:style w:type="paragraph" w:styleId="HTML0">
    <w:name w:val="HTML Preformatted"/>
    <w:basedOn w:val="a"/>
    <w:link w:val="HTM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rPr>
      <w:rFonts w:ascii="Arial Unicode MS" w:eastAsia="Arial Unicode MS" w:hAnsi="Arial Unicode MS" w:cs="Arial Unicode MS"/>
      <w:lang w:eastAsia="zh-TW"/>
    </w:rPr>
  </w:style>
  <w:style w:type="character" w:styleId="a3">
    <w:name w:val="Hyperlink"/>
    <w:rPr>
      <w:color w:val="000000"/>
      <w:u w:val="single"/>
    </w:rPr>
  </w:style>
  <w:style w:type="character" w:styleId="a4">
    <w:name w:val="Strong"/>
    <w:uiPriority w:val="22"/>
    <w:qFormat/>
    <w:rPr>
      <w:b/>
      <w:bCs/>
    </w:rPr>
  </w:style>
  <w:style w:type="paragraph" w:customStyle="1" w:styleId="Default">
    <w:name w:val="Default"/>
    <w:pPr>
      <w:widowControl w:val="0"/>
      <w:autoSpaceDE w:val="0"/>
      <w:autoSpaceDN w:val="0"/>
      <w:adjustRightInd w:val="0"/>
    </w:pPr>
    <w:rPr>
      <w:rFonts w:ascii="新細明體" w:hAnsi="Times New Roman"/>
      <w:color w:val="000000"/>
      <w:sz w:val="24"/>
      <w:szCs w:val="24"/>
    </w:rPr>
  </w:style>
  <w:style w:type="character" w:styleId="a5">
    <w:name w:val="FollowedHyperlink"/>
    <w:uiPriority w:val="99"/>
    <w:semiHidden/>
    <w:unhideWhenUsed/>
    <w:rsid w:val="00841832"/>
    <w:rPr>
      <w:color w:val="800080"/>
      <w:u w:val="single"/>
    </w:rPr>
  </w:style>
  <w:style w:type="paragraph" w:styleId="a6">
    <w:name w:val="header"/>
    <w:basedOn w:val="a"/>
    <w:link w:val="a7"/>
    <w:uiPriority w:val="99"/>
    <w:unhideWhenUsed/>
    <w:rsid w:val="005E40AA"/>
    <w:pPr>
      <w:tabs>
        <w:tab w:val="center" w:pos="4153"/>
        <w:tab w:val="right" w:pos="8306"/>
      </w:tabs>
      <w:snapToGrid w:val="0"/>
    </w:pPr>
    <w:rPr>
      <w:sz w:val="20"/>
      <w:szCs w:val="20"/>
    </w:rPr>
  </w:style>
  <w:style w:type="character" w:customStyle="1" w:styleId="a7">
    <w:name w:val="頁首 字元"/>
    <w:link w:val="a6"/>
    <w:uiPriority w:val="99"/>
    <w:rsid w:val="005E40AA"/>
    <w:rPr>
      <w:rFonts w:ascii="新細明體" w:hAnsi="新細明體"/>
      <w:lang w:eastAsia="en-US"/>
    </w:rPr>
  </w:style>
  <w:style w:type="paragraph" w:styleId="a8">
    <w:name w:val="footer"/>
    <w:basedOn w:val="a"/>
    <w:link w:val="a9"/>
    <w:uiPriority w:val="99"/>
    <w:unhideWhenUsed/>
    <w:rsid w:val="005E40AA"/>
    <w:pPr>
      <w:tabs>
        <w:tab w:val="center" w:pos="4153"/>
        <w:tab w:val="right" w:pos="8306"/>
      </w:tabs>
      <w:snapToGrid w:val="0"/>
    </w:pPr>
    <w:rPr>
      <w:sz w:val="20"/>
      <w:szCs w:val="20"/>
    </w:rPr>
  </w:style>
  <w:style w:type="character" w:customStyle="1" w:styleId="a9">
    <w:name w:val="頁尾 字元"/>
    <w:link w:val="a8"/>
    <w:uiPriority w:val="99"/>
    <w:rsid w:val="005E40AA"/>
    <w:rPr>
      <w:rFonts w:ascii="新細明體" w:hAnsi="新細明體"/>
      <w:lang w:eastAsia="en-US"/>
    </w:rPr>
  </w:style>
  <w:style w:type="character" w:customStyle="1" w:styleId="redcolor">
    <w:name w:val="redcolor"/>
    <w:rsid w:val="00D87435"/>
  </w:style>
  <w:style w:type="paragraph" w:styleId="aa">
    <w:name w:val="Balloon Text"/>
    <w:basedOn w:val="a"/>
    <w:link w:val="ab"/>
    <w:uiPriority w:val="99"/>
    <w:semiHidden/>
    <w:unhideWhenUsed/>
    <w:rsid w:val="004A57D2"/>
    <w:rPr>
      <w:rFonts w:ascii="Calibri Light" w:hAnsi="Calibri Light"/>
      <w:sz w:val="18"/>
      <w:szCs w:val="18"/>
    </w:rPr>
  </w:style>
  <w:style w:type="character" w:customStyle="1" w:styleId="ab">
    <w:name w:val="註解方塊文字 字元"/>
    <w:link w:val="aa"/>
    <w:uiPriority w:val="99"/>
    <w:semiHidden/>
    <w:rsid w:val="004A57D2"/>
    <w:rPr>
      <w:rFonts w:ascii="Calibri Light" w:eastAsia="新細明體" w:hAnsi="Calibri Light" w:cs="Times New Roman"/>
      <w:sz w:val="18"/>
      <w:szCs w:val="18"/>
      <w:lang w:val="en-GB"/>
    </w:rPr>
  </w:style>
  <w:style w:type="paragraph" w:styleId="ac">
    <w:name w:val="List Paragraph"/>
    <w:basedOn w:val="a"/>
    <w:uiPriority w:val="34"/>
    <w:qFormat/>
    <w:rsid w:val="00F06C0D"/>
    <w:pPr>
      <w:widowControl w:val="0"/>
      <w:ind w:leftChars="200" w:left="480"/>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1390">
      <w:bodyDiv w:val="1"/>
      <w:marLeft w:val="0"/>
      <w:marRight w:val="0"/>
      <w:marTop w:val="0"/>
      <w:marBottom w:val="0"/>
      <w:divBdr>
        <w:top w:val="none" w:sz="0" w:space="0" w:color="auto"/>
        <w:left w:val="none" w:sz="0" w:space="0" w:color="auto"/>
        <w:bottom w:val="none" w:sz="0" w:space="0" w:color="auto"/>
        <w:right w:val="none" w:sz="0" w:space="0" w:color="auto"/>
      </w:divBdr>
    </w:div>
    <w:div w:id="206570889">
      <w:bodyDiv w:val="1"/>
      <w:marLeft w:val="0"/>
      <w:marRight w:val="0"/>
      <w:marTop w:val="0"/>
      <w:marBottom w:val="0"/>
      <w:divBdr>
        <w:top w:val="none" w:sz="0" w:space="0" w:color="auto"/>
        <w:left w:val="none" w:sz="0" w:space="0" w:color="auto"/>
        <w:bottom w:val="none" w:sz="0" w:space="0" w:color="auto"/>
        <w:right w:val="none" w:sz="0" w:space="0" w:color="auto"/>
      </w:divBdr>
    </w:div>
    <w:div w:id="689914995">
      <w:bodyDiv w:val="1"/>
      <w:marLeft w:val="0"/>
      <w:marRight w:val="0"/>
      <w:marTop w:val="0"/>
      <w:marBottom w:val="0"/>
      <w:divBdr>
        <w:top w:val="none" w:sz="0" w:space="0" w:color="auto"/>
        <w:left w:val="none" w:sz="0" w:space="0" w:color="auto"/>
        <w:bottom w:val="none" w:sz="0" w:space="0" w:color="auto"/>
        <w:right w:val="none" w:sz="0" w:space="0" w:color="auto"/>
      </w:divBdr>
    </w:div>
    <w:div w:id="877283781">
      <w:bodyDiv w:val="1"/>
      <w:marLeft w:val="0"/>
      <w:marRight w:val="0"/>
      <w:marTop w:val="0"/>
      <w:marBottom w:val="0"/>
      <w:divBdr>
        <w:top w:val="none" w:sz="0" w:space="0" w:color="auto"/>
        <w:left w:val="none" w:sz="0" w:space="0" w:color="auto"/>
        <w:bottom w:val="none" w:sz="0" w:space="0" w:color="auto"/>
        <w:right w:val="none" w:sz="0" w:space="0" w:color="auto"/>
      </w:divBdr>
    </w:div>
    <w:div w:id="997273641">
      <w:bodyDiv w:val="1"/>
      <w:marLeft w:val="0"/>
      <w:marRight w:val="0"/>
      <w:marTop w:val="0"/>
      <w:marBottom w:val="0"/>
      <w:divBdr>
        <w:top w:val="none" w:sz="0" w:space="0" w:color="auto"/>
        <w:left w:val="none" w:sz="0" w:space="0" w:color="auto"/>
        <w:bottom w:val="none" w:sz="0" w:space="0" w:color="auto"/>
        <w:right w:val="none" w:sz="0" w:space="0" w:color="auto"/>
      </w:divBdr>
    </w:div>
    <w:div w:id="1056666243">
      <w:bodyDiv w:val="1"/>
      <w:marLeft w:val="0"/>
      <w:marRight w:val="0"/>
      <w:marTop w:val="0"/>
      <w:marBottom w:val="0"/>
      <w:divBdr>
        <w:top w:val="none" w:sz="0" w:space="0" w:color="auto"/>
        <w:left w:val="none" w:sz="0" w:space="0" w:color="auto"/>
        <w:bottom w:val="none" w:sz="0" w:space="0" w:color="auto"/>
        <w:right w:val="none" w:sz="0" w:space="0" w:color="auto"/>
      </w:divBdr>
    </w:div>
    <w:div w:id="1152336747">
      <w:bodyDiv w:val="1"/>
      <w:marLeft w:val="0"/>
      <w:marRight w:val="0"/>
      <w:marTop w:val="0"/>
      <w:marBottom w:val="0"/>
      <w:divBdr>
        <w:top w:val="none" w:sz="0" w:space="0" w:color="auto"/>
        <w:left w:val="none" w:sz="0" w:space="0" w:color="auto"/>
        <w:bottom w:val="none" w:sz="0" w:space="0" w:color="auto"/>
        <w:right w:val="none" w:sz="0" w:space="0" w:color="auto"/>
      </w:divBdr>
    </w:div>
    <w:div w:id="1545946753">
      <w:bodyDiv w:val="1"/>
      <w:marLeft w:val="0"/>
      <w:marRight w:val="0"/>
      <w:marTop w:val="0"/>
      <w:marBottom w:val="0"/>
      <w:divBdr>
        <w:top w:val="none" w:sz="0" w:space="0" w:color="auto"/>
        <w:left w:val="none" w:sz="0" w:space="0" w:color="auto"/>
        <w:bottom w:val="none" w:sz="0" w:space="0" w:color="auto"/>
        <w:right w:val="none" w:sz="0" w:space="0" w:color="auto"/>
      </w:divBdr>
    </w:div>
    <w:div w:id="15592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edu.hk/" TargetMode="External"/><Relationship Id="rId3" Type="http://schemas.openxmlformats.org/officeDocument/2006/relationships/settings" Target="settings.xml"/><Relationship Id="rId7" Type="http://schemas.openxmlformats.org/officeDocument/2006/relationships/hyperlink" Target="http://www.ipass.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1329</Words>
  <Characters>376</Characters>
  <Application>Microsoft Office Word</Application>
  <DocSecurity>0</DocSecurity>
  <Lines>3</Lines>
  <Paragraphs>3</Paragraphs>
  <ScaleCrop>false</ScaleCrop>
  <Company>Home</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嗇色園主辦可藝中學學生事務通告（2024-2025學年）第85號有關2025香港中學文憑考試放榜日安排</dc:title>
  <dc:subject/>
  <dc:creator/>
  <cp:keywords/>
  <cp:lastModifiedBy>Tsoi Tak Ying, Violet</cp:lastModifiedBy>
  <cp:revision>4</cp:revision>
  <cp:lastPrinted>2025-07-15T01:47:00Z</cp:lastPrinted>
  <dcterms:created xsi:type="dcterms:W3CDTF">2025-07-15T01:42:00Z</dcterms:created>
  <dcterms:modified xsi:type="dcterms:W3CDTF">2025-07-15T01:48:00Z</dcterms:modified>
</cp:coreProperties>
</file>